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DECISION &amp; EVIDENCE GUIDE · DEC-05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Public IP, CGNAT, IPv6, Port Forwarding &amp; Remote Access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Decision &amp; evidence guide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Purpose. This guide explains why a fast broadband connection can still behave very differently for remote cameras, NAS access, self-hosted services, online gaming and inbound VPN connections. It separates public addressing from private addressing, explains carrier-grade NAT (CGNAT), and shows safer alternatives to simply opening ports.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ONOCRA rule: Never promise that “port forwarding will work” until the provider’s IPv4/IPv6 addressing, router mode and inbound-access policy are verified for the exact plan.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The seven terms households should understand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Term</w:t>
            </w:r>
          </w:p>
        </w:tc>
        <w:tc>
          <w:tcPr>
            <w:tcW w:type="dxa" w:w="612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Plain meaning</w:t>
            </w:r>
          </w:p>
        </w:tc>
        <w:tc>
          <w:tcPr>
            <w:tcW w:type="dxa" w:w="669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it matters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Private IPv4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Address used inside the home, commonly from RFC 1918 ranges.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Not directly reachable from the public internet by itself.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Public IPv4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Globally routable IPv4 address assigned at or upstream of the customer connection.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Traditional inbound IPv4 hosting generally needs a usable public address plus firewall/NAT configuration.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CGNAT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ISP shares one or more public IPv4 addresses among many customers using carrier-grade translation.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customer usually cannot create a normal inbound IPv4 mapping through the ISP’s translator.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IPv6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Newer Internet Protocol with a vastly larger address space.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Devices can have globally routable IPv6 addresses, but the router firewall still controls unsolicited inbound traffic.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Port forwarding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Router rule sending traffic arriving on a chosen public-side port to a device inside the home.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Useful for some self-hosted services; it also creates exposure that must be secured.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Double NAT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Two separate NAT routers are in series, for example an ISP gateway plus a second router.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Can complicate inbound access and gaming even without CGNAT.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Remote-access relay/tunnel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provider or trusted service brokers an outbound encrypted connection from the home device.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Often works without inbound port forwarding and can be safer/easier for households.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The key distinction</w:t>
      </w: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NAT is not the same thing as a firewall, and IPv6 does not mean “no security.” A household may have public IPv4, CGNAT, IPv6, both IPv4 and IPv6, or provider-specific combinations. ONOCRA should record the actual plan behaviour rather than infer it from the access technology.</w:t>
      </w:r>
    </w:p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1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DECISION &amp; EVIDENCE GUIDE · DEC-05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1 · How to identify what your connection is actually using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Decision &amp; evidence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A safe household diagnostic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93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Step</w:t>
            </w:r>
          </w:p>
        </w:tc>
        <w:tc>
          <w:tcPr>
            <w:tcW w:type="dxa" w:w="612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Check</w:t>
            </w:r>
          </w:p>
        </w:tc>
        <w:tc>
          <w:tcPr>
            <w:tcW w:type="dxa" w:w="864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Interpretation / caution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Open the router/gateway internet-status page and record the WAN IPv4 address and whether IPv6 is enabled.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 not post the full public address in screenshots. Record only what is needed for diagnosis.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If the WAN IPv4 is in 10.0.0.0/8, 172.16.0.0/12 or 192.168.0.0/16, there is private addressing upstream or another NAT layer.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This may be double NAT or ISP-side translation; it is not by itself proof of RFC 6598 CGNAT.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3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If the WAN IPv4 falls inside 100.64.0.0/10, treat CGNAT/shared address space as the leading explanation.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RFC 6598 reserves this block specifically as Shared Address Space for service-provider CGN use.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4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Compare the router WAN IPv4 with the public IPv4 seen by a reputable “what is my IP” service.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If they differ, an upstream NAT/translation layer is likely. Some gateways hide details, so provider confirmation remains authoritative.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5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Check whether the router receives an IPv6 prefix and whether client devices have global IPv6 connectivity.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local/link-local or unique-local IPv6 address is not proof of global IPv6 reachability.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If you use an ISP gateway plus your own router, check bridge/passthrough/access-point mode.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Two routing layers can create double NAT. Do not change modes until ISP voice/IPTV/authentication requirements are understood.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7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Ask the provider directly whether the plan offers public dynamic IPv4, static IPv4, CGNAT, native IPv6, and any inbound-port restrictions.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Provider/plan evidence overrides assumptions based on country, brand or access technology.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Recognise the special address ranges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16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Range</w:t>
            </w:r>
          </w:p>
        </w:tc>
        <w:tc>
          <w:tcPr>
            <w:tcW w:type="dxa" w:w="576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Meaning</w:t>
            </w:r>
          </w:p>
        </w:tc>
        <w:tc>
          <w:tcPr>
            <w:tcW w:type="dxa" w:w="676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ONOCRA interpretation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10.0.0.0/8 · 172.16.0.0/12 · 192.168.0.0/16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RFC 1918 private IPv4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Normal inside homes; if shown as the ISP-facing WAN address, another NAT layer exists upstream.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100.64.0.0/10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RFC 6598 Shared Address Space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Strong CGNAT indicator when used on the provider-facing side.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127.0.0.0/8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Loopback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Local host only; not an ISP-assigned WAN address.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169.254.0.0/16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IPv4 link-local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Often indicates failure to obtain normal IPv4 configuration; do not confuse with CGNAT.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fe80::/10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IPv6 link-local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Works only on the local link; not globally routable.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fc00::/7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IPv6 Unique Local Address space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Intended for local communications, not normal global internet routing.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Privacy safeguard: for support screenshots, redact public IP addresses, device serial numbers, Wi-Fi passwords, router admin credentials and QR codes.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2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DECISION &amp; EVIDENCE GUIDE · DEC-05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2 · What CGNAT, public IPv4 and IPv6 change in everyday use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Decision &amp; evidence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Most internet use works normally behind CGNAT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74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Use case</w:t>
            </w:r>
          </w:p>
        </w:tc>
        <w:tc>
          <w:tcPr>
            <w:tcW w:type="dxa" w:w="352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Usually works behind CGNAT?</w:t>
            </w:r>
          </w:p>
        </w:tc>
        <w:tc>
          <w:tcPr>
            <w:tcW w:type="dxa" w:w="842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What can change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Web browsing / streaming / messaging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Yes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These are normally outbound client connections.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Video calls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Usually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Quality depends more on upload, latency, jitter and NAT traversal. Some peer-to-peer paths may fall back to relays.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Cloud-managed cameras / smart-home apps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Usually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Many products use vendor cloud relays, so no manual inbound port is required. Verify the product’s security/update model.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Online gaming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Often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Matchmaking can work, but NAT type, peer hosting and specific game/platform behaviour may differ.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Remote access to a NAS / home server over IPv4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Not by ordinary port forwarding if the ISP uses CGNAT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Use a provider public-IP option, IPv6 with secure firewall rules, or a trusted VPN/tunnel/relay design.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Hosting a VPN server at home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May fail over inbound IPv4 under CGNAT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tunnel initiated outbound from home or native IPv6 can be alternatives.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Port-forwarded CCTV/NVR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Not by normal IPv4 forwarding under CGNAT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Prefer vendor-supported secure remote access or a VPN; directly exposing camera admin interfaces is high risk.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Business / advanced remote access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Plan-dependent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Static/public addressing, reverse DNS, firewall policy and terms of service can matter.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Access technology does not guarantee address 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Technology</w:t>
            </w:r>
          </w:p>
        </w:tc>
        <w:tc>
          <w:tcPr>
            <w:tcW w:type="dxa" w:w="640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Common tendency worth checking</w:t>
            </w:r>
          </w:p>
        </w:tc>
        <w:tc>
          <w:tcPr>
            <w:tcW w:type="dxa" w:w="640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Do not assume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DSL / Copper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Public IPv4 may exist on many legacy plans; IPv6 and static-IP options vary.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That every DSL customer gets a public IPv4.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Cable / HFC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Provider gateway mode, IPv6 and IPv4 policy are plan/provider specific.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That bridge mode automatically removes upstream CGNAT.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Full Fibre / FTTP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Modern networks often support IPv6; public IPv4 policy still varies.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That fibre automatically means static/public IPv4.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4G / 5G FWA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CGNAT is common enough to be an explicit pre-purchase check.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That mobile/FWA always uses CGNAT or can never provide public addressing.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Satellite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Addressing and inbound policies can vary by operator, plan and region.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That every satellite service behaves the same for public IPv4 or IPv6.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3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DECISION &amp; EVIDENCE GUIDE · DEC-05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3 · Port forwarding, IPv6 and safer remote access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Decision &amp; evidence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Port forwarding is a capability, not the default recommendation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95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Option</w:t>
            </w:r>
          </w:p>
        </w:tc>
        <w:tc>
          <w:tcPr>
            <w:tcW w:type="dxa" w:w="489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When it can fit</w:t>
            </w:r>
          </w:p>
        </w:tc>
        <w:tc>
          <w:tcPr>
            <w:tcW w:type="dxa" w:w="78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Main safeguards / limitations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Public dynamic IPv4 + port forward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specific well-maintained service needs inbound IPv4 and the public address may change.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Use a strong authenticated service, minimum ports, patched software and dynamic DNS if needed. Do not expose router admin pages.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Static public IPv4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Business/advanced use where a stable address is justified.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May cost extra; a static address does not make the service secure. Firewall and service hardening remain essential.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Native IPv6 inbound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Both provider and destination support global IPv6.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No NAT mapping is required, but the router firewall must deliberately allow only the required traffic. Verify prefix stability and client support.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VPN server on the home router/NAS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Trusted remote access into the home network.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Prefer modern authenticated VPN protocols; expose only the VPN endpoint and keep firmware/current software updated.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Outbound mesh VPN / tunnel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CGNAT blocks inbound IPv4 or the user wants simpler remote access.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home device initiates outbound connectivity; trust, account security and service dependency must be considered.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Vendor cloud relay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Cameras/NAS/smart-home products designed for app-based remote access.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Convenient but dependent on vendor security, account MFA, support lifetime and cloud availability.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DMZ host / “expose all ports”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Rare troubleshooting only, if ever.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High exposure. ONOCRA should not recommend this as a routine fix.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UPnP automatic mappings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Consumer apps/games may request ports automatically.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Convenient but reduces visibility/control. Keep router firmware current and disable if not needed or if the threat model calls for stricter control.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IPv6: the important security correction</w:t>
      </w: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IPv6 removes the IPv4 address-shortage reason for NAT, but it does not remove the need for a stateful firewall. A global IPv6 address can be routable in principle; unsolicited inbound traffic should still be blocked unless a deliberate rule allows it. Do not copy an IPv4 “open a port” tutorial blindly into IPv6.</w:t>
      </w: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If remote access suddenly stops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Check whether the provider changed the WAN IPv4 address, moved the plan behind CGNAT, changed IPv6 prefix delegation, or replaced the gateway.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Check double NAT after adding mesh or a second router.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Check that the target device still has the expected local address; use DHCP reservations where appropriate.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Check firewall rules and service listening ports before changing security settings.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Prefer provider or vendor documentation over generic “open these ports” forum instructions.</w:t>
      </w:r>
    </w:p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4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DECISION &amp; EVIDENCE GUIDE · DEC-05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4 · Regional and provider verification — US / UK / Germany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Decision &amp; evidence guide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There is no ONOCRA country-wide assumption for public IPv4, CGNAT, static IP or IPv6. These are provider-, network- and sometimes plan-specific features. The evidence should therefore be captured at the offer/plan level and dated.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4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Market</w:t>
            </w:r>
          </w:p>
        </w:tc>
        <w:tc>
          <w:tcPr>
            <w:tcW w:type="dxa" w:w="741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What ONOCRA should verify</w:t>
            </w:r>
          </w:p>
        </w:tc>
        <w:tc>
          <w:tcPr>
            <w:tcW w:type="dxa" w:w="727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Evidence hierarchy</w:t>
            </w:r>
          </w:p>
        </w:tc>
      </w:tr>
      <w:tr>
        <w:tc>
          <w:tcPr>
            <w:tcW w:type="dxa" w:w="24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United States</w:t>
            </w:r>
          </w:p>
        </w:tc>
        <w:tc>
          <w:tcPr>
            <w:tcW w:type="dxa" w:w="74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Whether the exact residential plan uses public IPv4 or CGNAT; whether native IPv6 is provided; static-IP availability/eligibility; gateway bridge/passthrough behaviour; any inbound-service restrictions.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1) Provider plan/support page  2) Gateway status/plan documentation  3) Provider support confirmation  4) User measurement as supporting evidence.</w:t>
            </w:r>
          </w:p>
        </w:tc>
      </w:tr>
      <w:tr>
        <w:tc>
          <w:tcPr>
            <w:tcW w:type="dxa" w:w="24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United Kingdom</w:t>
            </w:r>
          </w:p>
        </w:tc>
        <w:tc>
          <w:tcPr>
            <w:tcW w:type="dxa" w:w="74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Public/shared IPv4 behaviour, IPv6 status, router/modem mode, static-IP option and whether features differ between residential/business tiers.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Provider documentation and current support confirmation. Do not infer from Ofcom availability data; address availability and IP-address policy are separate questions.</w:t>
            </w:r>
          </w:p>
        </w:tc>
      </w:tr>
      <w:tr>
        <w:tc>
          <w:tcPr>
            <w:tcW w:type="dxa" w:w="24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Germany</w:t>
            </w:r>
          </w:p>
        </w:tc>
        <w:tc>
          <w:tcPr>
            <w:tcW w:type="dxa" w:w="74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IPv4/IPv6 mode, DS-Lite/CGNAT or public-address options where applicable, router freedom/own-router implications, static-IP availability and inbound restrictions.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Provider documentation for the exact tariff plus router WAN status. Record whether a public IPv4 add-on or business tier is required.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Questions to ask before buying when remote access matters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tblHeader w:val="true"/>
        </w:trPr>
        <w:tc>
          <w:tcPr>
            <w:tcW w:type="dxa" w:w="6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562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Question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Does this exact plan give me a publicly reachable IPv4 address, or is IPv4 behind CGNAT/shared addressing?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Is the public IPv4 dynamic or static, and is there an extra charge or eligibility condition?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3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Does the plan provide native IPv6 and prefix delegation to my own router?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4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Can I use bridge/passthrough mode, or must the ISP gateway remain the routing device?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5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Are inbound ports filtered or blocked by the provider?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Can I run a home VPN server, NAS or other self-hosted service under the terms of service?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7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If the provider uses CGNAT, is there a supported public-IP option?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8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Will changing address, plan, gateway or access technology change the IP policy?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9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For FWA/satellite, does the policy differ by region or residential/business plan?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10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What support evidence can I save now: plan page, support article, chat transcript or written confirmation?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ONOCRA buying rule: If inbound access is essential, public-address capability is a suitability gate — not a minor specification to discover after installation.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5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DECISION &amp; EVIDENCE GUIDE · DEC-05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5 · Step 4 evidence fields, glossary &amp; standards sources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Decision &amp; evidence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Step 4 structured evidence handoff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37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Field group</w:t>
            </w:r>
          </w:p>
        </w:tc>
        <w:tc>
          <w:tcPr>
            <w:tcW w:type="dxa" w:w="748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Standard fields</w:t>
            </w:r>
          </w:p>
        </w:tc>
        <w:tc>
          <w:tcPr>
            <w:tcW w:type="dxa" w:w="727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Why Step 4 needs it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Addressing &amp; inbound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ipv4_mode · ipv4_public_status · cgnat_status · ipv6_status · inbound_ipv4_supported · inbound_ipv6_supported · provider_port_filtering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Distinguishes public IPv4, CGNAT and IPv6 and whether self-hosting/remote access is feasible.</w:t>
            </w:r>
          </w:p>
        </w:tc>
      </w:tr>
      <w:tr>
        <w:tc>
          <w:tcPr>
            <w:tcW w:type="dxa" w:w="237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Topology &amp; stability</w:t>
            </w:r>
          </w:p>
        </w:tc>
        <w:tc>
          <w:tcPr>
            <w:tcW w:type="dxa" w:w="748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isp_gateway_required · own_router_supported · bridge_passthrough · double_nat_risk · ipv4_dynamic_static · ipv6_prefix_stability · static_ip_option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Separates ISP-side CGNAT from in-home double NAT and records whether addresses/prefixes may change.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Remote-access fit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nas_remote_access · vpn_server_fit · gaming_nat_note · camera_remote_access_note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Lets Step 4 show use-case consequences rather than protocol jargon.</w:t>
            </w:r>
          </w:p>
        </w:tc>
      </w:tr>
      <w:tr>
        <w:tc>
          <w:tcPr>
            <w:tcW w:type="dxa" w:w="237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Security</w:t>
            </w:r>
          </w:p>
        </w:tc>
        <w:tc>
          <w:tcPr>
            <w:tcW w:type="dxa" w:w="748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firewall_default · upnp_note · vendor_relay_note · mfa_available · update_support_note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Prevents “make it reachable” advice from bypassing security.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Evidence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provider_source_url · observation_date · plan_name · region · confidence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IP policy can change by provider, plan and date; evidence must be attributable.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Terms in plain words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Term</w:t>
            </w:r>
          </w:p>
        </w:tc>
        <w:tc>
          <w:tcPr>
            <w:tcW w:type="dxa" w:w="1281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RFC 1918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Private IPv4 address ranges commonly used inside homes and organisations.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RFC 6598 Shared Address Space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100.64.0.0/10, reserved for service-provider shared addressing such as CGN deployments.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NAT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Address/port translation between networks. Consumer routers commonly use it for IPv4.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CGNAT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Carrier-grade NAT performed in the provider network, outside the customer router.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IPv6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Internet Protocol version 6; designed as IPv4’s successor and using a much larger address space.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Port forwarding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Rule that directs selected inbound traffic to a chosen internal device/service.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Double NAT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Two NAT routing layers in series, often ISP gateway plus a second router.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Prefix delegation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Method by which an ISP delegates an IPv6 prefix to the customer router for downstream networks.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Standards &amp; verification sources — checked 20 October 2026</w:t>
      </w:r>
    </w:p>
    <w:p>
      <w:pPr>
        <w:spacing w:after="40"/>
      </w:pPr>
      <w:r>
        <w:rPr>
          <w:rFonts w:ascii="Arial" w:hAnsi="Arial"/>
          <w:b/>
          <w:i w:val="0"/>
          <w:color w:val="173D37"/>
          <w:sz w:val="13"/>
        </w:rPr>
        <w:t xml:space="preserve">IETF / RFC Editor — RFC 6598: IANA-Reserved IPv4 Prefix for Shared Address Space: </w:t>
      </w:r>
      <w:hyperlink r:id="rId9">
        <w:r>
          <w:rPr>
            <w:color w:val="14624D"/>
            <w:u w:val="single"/>
          </w:rPr>
          <w:t>Open official source</w:t>
        </w:r>
      </w:hyperlink>
    </w:p>
    <w:p>
      <w:pPr>
        <w:spacing w:after="40"/>
      </w:pPr>
      <w:r>
        <w:rPr>
          <w:rFonts w:ascii="Arial" w:hAnsi="Arial"/>
          <w:b/>
          <w:i w:val="0"/>
          <w:color w:val="173D37"/>
          <w:sz w:val="13"/>
        </w:rPr>
        <w:t xml:space="preserve">IETF / RFC Editor — RFC 1918: Address Allocation for Private Internets: </w:t>
      </w:r>
      <w:hyperlink r:id="rId10">
        <w:r>
          <w:rPr>
            <w:color w:val="14624D"/>
            <w:u w:val="single"/>
          </w:rPr>
          <w:t>Open official source</w:t>
        </w:r>
      </w:hyperlink>
    </w:p>
    <w:p>
      <w:pPr>
        <w:spacing w:after="40"/>
      </w:pPr>
      <w:r>
        <w:rPr>
          <w:rFonts w:ascii="Arial" w:hAnsi="Arial"/>
          <w:b/>
          <w:i w:val="0"/>
          <w:color w:val="173D37"/>
          <w:sz w:val="13"/>
        </w:rPr>
        <w:t xml:space="preserve">IETF / RFC Editor — RFC 8200: Internet Protocol, Version 6 (IPv6) Specification: </w:t>
      </w:r>
      <w:hyperlink r:id="rId11">
        <w:r>
          <w:rPr>
            <w:color w:val="14624D"/>
            <w:u w:val="single"/>
          </w:rPr>
          <w:t>Open official source</w:t>
        </w:r>
      </w:hyperlink>
    </w:p>
    <w:p>
      <w:pPr>
        <w:spacing w:after="40"/>
      </w:pPr>
      <w:r>
        <w:rPr>
          <w:rFonts w:ascii="Arial" w:hAnsi="Arial"/>
          <w:b/>
          <w:i w:val="0"/>
          <w:color w:val="173D37"/>
          <w:sz w:val="13"/>
        </w:rPr>
        <w:t xml:space="preserve">IETF / RFC Editor — RFC 4193: Unique Local IPv6 Unicast Addresses: </w:t>
      </w:r>
      <w:hyperlink r:id="rId12">
        <w:r>
          <w:rPr>
            <w:color w:val="14624D"/>
            <w:u w:val="single"/>
          </w:rPr>
          <w:t>Open official source</w:t>
        </w:r>
      </w:hyperlink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3"/>
        </w:rPr>
        <w:t>General information only. ONOCRA does not operate a test laboratory and should not publish a provider’s IP-addressing policy without dated evidence. Security-sensitive configuration should follow the exact router, ISP and device documentation. Avoid exposing administrative interfaces directly to the public internet.</w:t>
      </w:r>
    </w:p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6</w:t>
      </w:r>
    </w:p>
    <w:sectPr w:rsidR="00FC693F" w:rsidRPr="0006063C" w:rsidSect="00034616">
      <w:pgSz w:w="16834" w:h="11909" w:orient="landscape"/>
      <w:pgMar w:top="490" w:right="562" w:bottom="490" w:left="5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145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F5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NOCRASmall">
    <w:name w:val="ONOCRA Small"/>
    <w:rPr>
      <w:rFonts w:ascii="Arial" w:hAnsi="Arial"/>
      <w:color w:val="66756D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fc-editor.org/info/rfc6598/" TargetMode="External"/><Relationship Id="rId10" Type="http://schemas.openxmlformats.org/officeDocument/2006/relationships/hyperlink" Target="https://www.rfc-editor.org/info/rfc1918/" TargetMode="External"/><Relationship Id="rId11" Type="http://schemas.openxmlformats.org/officeDocument/2006/relationships/hyperlink" Target="https://www.rfc-editor.org/info/rfc8200/" TargetMode="External"/><Relationship Id="rId12" Type="http://schemas.openxmlformats.org/officeDocument/2006/relationships/hyperlink" Target="https://www.rfc-editor.org/info/rfc419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ONOCRA Guide — Public IP, CGNAT, IPv6, Port Forwarding &amp; Remote Access</dc:title>
  <dc:subject>Home Internet &amp; Wi-Fi · Decision &amp; evidence guide · DEC-05</dc:subject>
  <dc:creator>ONOCRA</dc:creator>
  <cp:keywords>public IP, CGNAT, IPv6, port forwarding, remote access, broadband, ONOCRA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