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r>
              <w:rPr>
                <w:rFonts w:ascii="Georgia" w:hAnsi="Georgia"/>
                <w:b/>
                <w:color w:val="FFFFFF"/>
                <w:sz w:val="28"/>
              </w:rPr>
              <w:t>ONOCRA</w:t>
            </w:r>
          </w:p>
          <w:p>
            <w:pPr>
              <w:spacing w:after="0"/>
            </w:pPr>
            <w:r>
              <w:rPr>
                <w:rFonts w:ascii="Arial" w:hAnsi="Arial"/>
                <w:color w:val="DCE9E1"/>
                <w:sz w:val="16"/>
              </w:rPr>
              <w:t>Home Internet &amp; Wi-Fi · Technology guide</w:t>
            </w:r>
          </w:p>
        </w:tc>
      </w:tr>
    </w:tbl>
    <w:p>
      <w:pPr>
        <w:spacing w:after="60"/>
        <w:pBdr>
          <w:bottom w:val="single" w:sz="18" w:color="D99533"/>
        </w:pBdr>
      </w:pPr>
    </w:p>
    <w:p>
      <w:pPr>
        <w:pStyle w:val="Title"/>
        <w:spacing w:after="20"/>
      </w:pPr>
      <w:r>
        <w:t>Understanding DSL / Copper Broadband</w:t>
      </w:r>
    </w:p>
    <w:p>
      <w:pPr>
        <w:spacing w:after="80"/>
      </w:pPr>
      <w:r>
        <w:rPr>
          <w:rFonts w:ascii="Arial" w:hAnsi="Arial"/>
          <w:color w:val="6A756F"/>
          <w:sz w:val="22"/>
        </w:rPr>
        <w:t>ADSL · ADSL2+ · VDSL · FTTC where copper remains on the final access segment</w:t>
      </w:r>
    </w:p>
    <w:p>
      <w:pPr>
        <w:spacing w:after="60"/>
      </w:pPr>
      <w:r>
        <w:rPr>
          <w:b/>
          <w:color w:val="0F5A3A"/>
        </w:rPr>
        <w:t xml:space="preserve">Purpose. </w:t>
      </w:r>
      <w:r>
        <w:t>This guide explains what DSL/copper broadband is, how its main variants differ, why line length and copper condition matter, what equipment you may see at home, and how the technology is being phased down or migrated in the United States, United Kingdom and Germany. It is a technology guide, not a provider ranking.</w:t>
      </w:r>
    </w:p>
    <w:tbl>
      <w:tblPr>
        <w:tblW w:type="auto" w:w="0"/>
        <w:tblLook w:firstColumn="1" w:firstRow="1" w:lastColumn="0" w:lastRow="0" w:noHBand="0" w:noVBand="1" w:val="04A0"/>
      </w:tblPr>
      <w:tblGrid>
        <w:gridCol w:w="15624"/>
      </w:tblGrid>
      <w:tr>
        <w:tc>
          <w:tcPr>
            <w:tcW w:type="dxa" w:w="15624"/>
            <w:shd w:fill="FFF6E6"/>
            <w:tcMar>
              <w:top w:w="90" w:type="dxa"/>
              <w:start w:w="110" w:type="dxa"/>
              <w:bottom w:w="90" w:type="dxa"/>
              <w:end w:w="110" w:type="dxa"/>
            </w:tcMar>
          </w:tcPr>
          <w:p>
            <w:r/>
            <w:r>
              <w:rPr>
                <w:b/>
                <w:color w:val="0F5A3A"/>
              </w:rPr>
              <w:t xml:space="preserve">Important distinction: </w:t>
            </w:r>
            <w:r>
              <w:t>DSL means broadband carried over copper pairs. FTTC can still use DSL/VDSL on the final cabinet-to-home segment, so “fibre broadband” is not automatically full fibre / FTTP.</w:t>
            </w:r>
          </w:p>
        </w:tc>
      </w:tr>
    </w:tbl>
    <w:p>
      <w:pPr>
        <w:pStyle w:val="Heading2"/>
        <w:spacing w:after="40"/>
      </w:pPr>
      <w:r>
        <w:t>Evidence key</w:t>
      </w:r>
    </w:p>
    <w:tbl>
      <w:tblPr>
        <w:tblW w:type="auto" w:w="0"/>
        <w:jc w:val="center"/>
        <w:tblLook w:firstColumn="1" w:firstRow="1" w:lastColumn="0" w:lastRow="0" w:noHBand="0" w:noVBand="1" w:val="04A0"/>
      </w:tblPr>
      <w:tblGrid>
        <w:gridCol w:w="7812"/>
        <w:gridCol w:w="7812"/>
      </w:tblGrid>
      <w:tr>
        <w:tc>
          <w:tcPr>
            <w:tcW w:type="dxa" w:w="7812"/>
            <w:shd w:fill="F7F4E8"/>
            <w:vAlign w:val="center"/>
            <w:tcMar>
              <w:top w:w="55" w:type="dxa"/>
              <w:start w:w="70" w:type="dxa"/>
              <w:bottom w:w="55" w:type="dxa"/>
              <w:end w:w="70" w:type="dxa"/>
            </w:tcMar>
          </w:tcPr>
          <w:p>
            <w:pPr>
              <w:spacing w:before="0" w:after="0"/>
            </w:pPr>
            <w:r/>
            <w:r>
              <w:rPr>
                <w:rFonts w:ascii="Arial" w:hAnsi="Arial"/>
                <w:b/>
                <w:color w:val="0F5A3A"/>
                <w:sz w:val="16"/>
              </w:rPr>
              <w:t>Provider / network claim</w:t>
            </w:r>
          </w:p>
        </w:tc>
        <w:tc>
          <w:tcPr>
            <w:tcW w:type="dxa" w:w="7812"/>
            <w:vAlign w:val="center"/>
            <w:tcMar>
              <w:top w:w="55" w:type="dxa"/>
              <w:start w:w="70" w:type="dxa"/>
              <w:bottom w:w="55" w:type="dxa"/>
              <w:end w:w="70" w:type="dxa"/>
            </w:tcMar>
          </w:tcPr>
          <w:p>
            <w:pPr>
              <w:spacing w:before="0" w:after="0"/>
            </w:pPr>
            <w:r/>
            <w:r>
              <w:rPr>
                <w:rFonts w:ascii="Arial" w:hAnsi="Arial"/>
                <w:b w:val="0"/>
                <w:color w:val="23382F"/>
                <w:sz w:val="16"/>
              </w:rPr>
              <w:t>What the provider, network operator or manufacturer says. Useful, but verify it for the address and plan.</w:t>
            </w:r>
          </w:p>
        </w:tc>
      </w:tr>
      <w:tr>
        <w:tc>
          <w:tcPr>
            <w:tcW w:type="dxa" w:w="7812"/>
            <w:shd w:fill="F7F4E8"/>
            <w:vAlign w:val="center"/>
            <w:tcMar>
              <w:top w:w="55" w:type="dxa"/>
              <w:start w:w="70" w:type="dxa"/>
              <w:bottom w:w="55" w:type="dxa"/>
              <w:end w:w="70" w:type="dxa"/>
            </w:tcMar>
          </w:tcPr>
          <w:p>
            <w:pPr>
              <w:spacing w:before="0" w:after="0"/>
            </w:pPr>
            <w:r/>
            <w:r>
              <w:rPr>
                <w:rFonts w:ascii="Arial" w:hAnsi="Arial"/>
                <w:b/>
                <w:color w:val="0F5A3A"/>
                <w:sz w:val="16"/>
              </w:rPr>
              <w:t>Independent / official evidence</w:t>
            </w:r>
          </w:p>
        </w:tc>
        <w:tc>
          <w:tcPr>
            <w:tcW w:type="dxa" w:w="7812"/>
            <w:vAlign w:val="center"/>
            <w:tcMar>
              <w:top w:w="55" w:type="dxa"/>
              <w:start w:w="70" w:type="dxa"/>
              <w:bottom w:w="55" w:type="dxa"/>
              <w:end w:w="70" w:type="dxa"/>
            </w:tcMar>
          </w:tcPr>
          <w:p>
            <w:pPr>
              <w:spacing w:before="0" w:after="0"/>
            </w:pPr>
            <w:r/>
            <w:r>
              <w:rPr>
                <w:rFonts w:ascii="Arial" w:hAnsi="Arial"/>
                <w:b w:val="0"/>
                <w:color w:val="23382F"/>
                <w:sz w:val="16"/>
              </w:rPr>
              <w:t>Regulator, standards body or third-party measurements. Check date, geography and method.</w:t>
            </w:r>
          </w:p>
        </w:tc>
      </w:tr>
      <w:tr>
        <w:tc>
          <w:tcPr>
            <w:tcW w:type="dxa" w:w="7812"/>
            <w:shd w:fill="F7F4E8"/>
            <w:vAlign w:val="center"/>
            <w:tcMar>
              <w:top w:w="55" w:type="dxa"/>
              <w:start w:w="70" w:type="dxa"/>
              <w:bottom w:w="55" w:type="dxa"/>
              <w:end w:w="70" w:type="dxa"/>
            </w:tcMar>
          </w:tcPr>
          <w:p>
            <w:pPr>
              <w:spacing w:before="0" w:after="0"/>
            </w:pPr>
            <w:r/>
            <w:r>
              <w:rPr>
                <w:rFonts w:ascii="Arial" w:hAnsi="Arial"/>
                <w:b/>
                <w:color w:val="0F5A3A"/>
                <w:sz w:val="16"/>
              </w:rPr>
              <w:t>ONOCRA editorial interpretation</w:t>
            </w:r>
          </w:p>
        </w:tc>
        <w:tc>
          <w:tcPr>
            <w:tcW w:type="dxa" w:w="7812"/>
            <w:vAlign w:val="center"/>
            <w:tcMar>
              <w:top w:w="55" w:type="dxa"/>
              <w:start w:w="70" w:type="dxa"/>
              <w:bottom w:w="55" w:type="dxa"/>
              <w:end w:w="70" w:type="dxa"/>
            </w:tcMar>
          </w:tcPr>
          <w:p>
            <w:pPr>
              <w:spacing w:before="0" w:after="0"/>
            </w:pPr>
            <w:r/>
            <w:r>
              <w:rPr>
                <w:rFonts w:ascii="Arial" w:hAnsi="Arial"/>
                <w:b w:val="0"/>
                <w:color w:val="23382F"/>
                <w:sz w:val="16"/>
              </w:rPr>
              <w:t>ONOCRA’s evidence-based explanation or household-fit interpretation. Never presented as a measurement.</w:t>
            </w:r>
          </w:p>
        </w:tc>
      </w:tr>
      <w:tr>
        <w:tc>
          <w:tcPr>
            <w:tcW w:type="dxa" w:w="7812"/>
            <w:shd w:fill="F7F4E8"/>
            <w:vAlign w:val="center"/>
            <w:tcMar>
              <w:top w:w="55" w:type="dxa"/>
              <w:start w:w="70" w:type="dxa"/>
              <w:bottom w:w="55" w:type="dxa"/>
              <w:end w:w="70" w:type="dxa"/>
            </w:tcMar>
          </w:tcPr>
          <w:p>
            <w:pPr>
              <w:spacing w:before="0" w:after="0"/>
            </w:pPr>
            <w:r/>
            <w:r>
              <w:rPr>
                <w:rFonts w:ascii="Arial" w:hAnsi="Arial"/>
                <w:b/>
                <w:color w:val="0F5A3A"/>
                <w:sz w:val="16"/>
              </w:rPr>
              <w:t>Unverified / variable</w:t>
            </w:r>
          </w:p>
        </w:tc>
        <w:tc>
          <w:tcPr>
            <w:tcW w:type="dxa" w:w="7812"/>
            <w:vAlign w:val="center"/>
            <w:tcMar>
              <w:top w:w="55" w:type="dxa"/>
              <w:start w:w="70" w:type="dxa"/>
              <w:bottom w:w="55" w:type="dxa"/>
              <w:end w:w="70" w:type="dxa"/>
            </w:tcMar>
          </w:tcPr>
          <w:p>
            <w:pPr>
              <w:spacing w:before="0" w:after="0"/>
            </w:pPr>
            <w:r/>
            <w:r>
              <w:rPr>
                <w:rFonts w:ascii="Arial" w:hAnsi="Arial"/>
                <w:b w:val="0"/>
                <w:color w:val="23382F"/>
                <w:sz w:val="16"/>
              </w:rPr>
              <w:t>No reliable current evidence, or the answer varies by address/provider. We say so rather than guess.</w:t>
            </w:r>
          </w:p>
        </w:tc>
      </w:tr>
    </w:tbl>
    <w:p>
      <w:pPr>
        <w:pStyle w:val="Heading2"/>
        <w:spacing w:before="80" w:after="40"/>
      </w:pPr>
      <w:r>
        <w:t>Plain-English summary</w:t>
      </w:r>
    </w:p>
    <w:tbl>
      <w:tblPr>
        <w:tblW w:type="auto" w:w="0"/>
        <w:jc w:val="center"/>
        <w:tblLayout w:type="fixed"/>
        <w:tblLook w:firstColumn="1" w:firstRow="1" w:lastColumn="0" w:lastRow="0" w:noHBand="0" w:noVBand="1" w:val="04A0"/>
      </w:tblPr>
      <w:tblGrid>
        <w:gridCol w:w="3024"/>
        <w:gridCol w:w="12240"/>
      </w:tblGrid>
      <w:tr>
        <w:trPr>
          <w:tblHeader w:val="true"/>
        </w:trPr>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Question</w:t>
            </w:r>
          </w:p>
        </w:tc>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ONOCRA explanation</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6"/>
              </w:rPr>
              <w:t>What it is</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6"/>
              </w:rPr>
              <w:t>A fixed-line broadband family that sends data over copper telephone pairs, either from the exchange or from a nearer street cabinet.</w:t>
            </w:r>
          </w:p>
        </w:tc>
      </w:tr>
      <w:tr>
        <w:tc>
          <w:tcPr>
            <w:tcW w:type="dxa" w:w="3024"/>
            <w:shd w:fill="F7F9F7"/>
            <w:vAlign w:val="center"/>
            <w:tcMar>
              <w:top w:w="55" w:type="dxa"/>
              <w:start w:w="70" w:type="dxa"/>
              <w:bottom w:w="55" w:type="dxa"/>
              <w:end w:w="70" w:type="dxa"/>
            </w:tcMar>
          </w:tcPr>
          <w:p>
            <w:pPr>
              <w:spacing w:before="0" w:after="0"/>
            </w:pPr>
            <w:r/>
            <w:r>
              <w:rPr>
                <w:rFonts w:ascii="Arial" w:hAnsi="Arial"/>
                <w:b/>
                <w:color w:val="0F5A3A"/>
                <w:sz w:val="16"/>
              </w:rPr>
              <w:t>What determines performance</w:t>
            </w:r>
          </w:p>
        </w:tc>
        <w:tc>
          <w:tcPr>
            <w:tcW w:type="dxa" w:w="12240"/>
            <w:shd w:fill="F7F9F7"/>
            <w:vAlign w:val="center"/>
            <w:tcMar>
              <w:top w:w="55" w:type="dxa"/>
              <w:start w:w="70" w:type="dxa"/>
              <w:bottom w:w="55" w:type="dxa"/>
              <w:end w:w="70" w:type="dxa"/>
            </w:tcMar>
          </w:tcPr>
          <w:p>
            <w:pPr>
              <w:spacing w:before="0" w:after="0"/>
            </w:pPr>
            <w:r/>
            <w:r>
              <w:rPr>
                <w:rFonts w:ascii="Arial" w:hAnsi="Arial"/>
                <w:b w:val="0"/>
                <w:color w:val="23382F"/>
                <w:sz w:val="16"/>
              </w:rPr>
              <w:t>DSL variant, copper line length, line quality, joints/wiring, noise/interference, provider profile and upstream network capacity.</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6"/>
              </w:rPr>
              <w:t>Why households still use it</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6"/>
              </w:rPr>
              <w:t>Existing wiring, broad legacy footprint, simple installation where the line is already active, and continued availability where newer networks are incomplete.</w:t>
            </w:r>
          </w:p>
        </w:tc>
      </w:tr>
      <w:tr>
        <w:tc>
          <w:tcPr>
            <w:tcW w:type="dxa" w:w="3024"/>
            <w:shd w:fill="F7F9F7"/>
            <w:vAlign w:val="center"/>
            <w:tcMar>
              <w:top w:w="55" w:type="dxa"/>
              <w:start w:w="70" w:type="dxa"/>
              <w:bottom w:w="55" w:type="dxa"/>
              <w:end w:w="70" w:type="dxa"/>
            </w:tcMar>
          </w:tcPr>
          <w:p>
            <w:pPr>
              <w:spacing w:before="0" w:after="0"/>
            </w:pPr>
            <w:r/>
            <w:r>
              <w:rPr>
                <w:rFonts w:ascii="Arial" w:hAnsi="Arial"/>
                <w:b/>
                <w:color w:val="0F5A3A"/>
                <w:sz w:val="16"/>
              </w:rPr>
              <w:t>Main limitation</w:t>
            </w:r>
          </w:p>
        </w:tc>
        <w:tc>
          <w:tcPr>
            <w:tcW w:type="dxa" w:w="12240"/>
            <w:shd w:fill="F7F9F7"/>
            <w:vAlign w:val="center"/>
            <w:tcMar>
              <w:top w:w="55" w:type="dxa"/>
              <w:start w:w="70" w:type="dxa"/>
              <w:bottom w:w="55" w:type="dxa"/>
              <w:end w:w="70" w:type="dxa"/>
            </w:tcMar>
          </w:tcPr>
          <w:p>
            <w:pPr>
              <w:spacing w:before="0" w:after="0"/>
            </w:pPr>
            <w:r/>
            <w:r>
              <w:rPr>
                <w:rFonts w:ascii="Arial" w:hAnsi="Arial"/>
                <w:b w:val="0"/>
                <w:color w:val="23382F"/>
                <w:sz w:val="16"/>
              </w:rPr>
              <w:t>Copper signal quality falls with distance and can be affected by line faults or noise. Upload capacity is usually much lower than modern full-fibre options.</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6"/>
              </w:rPr>
              <w:t>Lifecycle</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6"/>
              </w:rPr>
              <w:t>Legacy/transition technology in the US and UK; still significant in Germany, where VDSL remains widely used while fibre migration is being designed and rolled out.</w:t>
            </w:r>
          </w:p>
        </w:tc>
      </w:tr>
    </w:tbl>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1</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r>
              <w:rPr>
                <w:rFonts w:ascii="Georgia" w:hAnsi="Georgia"/>
                <w:b/>
                <w:color w:val="FFFFFF"/>
                <w:sz w:val="28"/>
              </w:rPr>
              <w:t>ONOCRA</w:t>
            </w:r>
          </w:p>
          <w:p>
            <w:pPr>
              <w:spacing w:after="0"/>
            </w:pPr>
            <w:r>
              <w:rPr>
                <w:rFonts w:ascii="Arial" w:hAnsi="Arial"/>
                <w:color w:val="DCE9E1"/>
                <w:sz w:val="16"/>
              </w:rPr>
              <w:t>Home Internet &amp; Wi-Fi · Technology guide</w:t>
            </w:r>
          </w:p>
        </w:tc>
      </w:tr>
    </w:tbl>
    <w:p>
      <w:pPr>
        <w:spacing w:after="60"/>
        <w:pBdr>
          <w:bottom w:val="single" w:sz="18" w:color="D99533"/>
        </w:pBdr>
      </w:pPr>
    </w:p>
    <w:p>
      <w:pPr>
        <w:pStyle w:val="Heading1"/>
        <w:spacing w:after="60"/>
      </w:pPr>
      <w:r>
        <w:t>1 · Architecture and variants</w:t>
      </w:r>
    </w:p>
    <w:tbl>
      <w:tblPr>
        <w:tblW w:type="auto" w:w="0"/>
        <w:jc w:val="center"/>
        <w:tblLayout w:type="fixed"/>
        <w:tblLook w:firstColumn="1" w:firstRow="1" w:lastColumn="0" w:lastRow="0" w:noHBand="0" w:noVBand="1" w:val="04A0"/>
      </w:tblPr>
      <w:tblGrid>
        <w:gridCol w:w="2880"/>
        <w:gridCol w:w="12384"/>
      </w:tblGrid>
      <w:tr>
        <w:trPr>
          <w:tblHeader w:val="true"/>
        </w:trPr>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Variant</w:t>
            </w:r>
          </w:p>
        </w:tc>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What it means at home</w:t>
            </w:r>
          </w:p>
        </w:tc>
      </w:tr>
      <w:tr>
        <w:tc>
          <w:tcPr>
            <w:tcW w:type="dxa" w:w="2880"/>
            <w:shd w:fill="FFFFFF"/>
            <w:vAlign w:val="center"/>
            <w:tcMar>
              <w:top w:w="55" w:type="dxa"/>
              <w:start w:w="70" w:type="dxa"/>
              <w:bottom w:w="55" w:type="dxa"/>
              <w:end w:w="70" w:type="dxa"/>
            </w:tcMar>
          </w:tcPr>
          <w:p>
            <w:pPr>
              <w:spacing w:before="0" w:after="0"/>
            </w:pPr>
            <w:r/>
            <w:r>
              <w:rPr>
                <w:rFonts w:ascii="Arial" w:hAnsi="Arial"/>
                <w:b/>
                <w:color w:val="0F5A3A"/>
                <w:sz w:val="16"/>
              </w:rPr>
              <w:t>ADSL</w:t>
            </w:r>
          </w:p>
        </w:tc>
        <w:tc>
          <w:tcPr>
            <w:tcW w:type="dxa" w:w="12384"/>
            <w:shd w:fill="FFFFFF"/>
            <w:vAlign w:val="center"/>
            <w:tcMar>
              <w:top w:w="55" w:type="dxa"/>
              <w:start w:w="70" w:type="dxa"/>
              <w:bottom w:w="55" w:type="dxa"/>
              <w:end w:w="70" w:type="dxa"/>
            </w:tcMar>
          </w:tcPr>
          <w:p>
            <w:pPr>
              <w:spacing w:before="0" w:after="0"/>
            </w:pPr>
            <w:r/>
            <w:r>
              <w:rPr>
                <w:rFonts w:ascii="Arial" w:hAnsi="Arial"/>
                <w:b w:val="0"/>
                <w:color w:val="23382F"/>
                <w:sz w:val="16"/>
              </w:rPr>
              <w:t>Copper from the exchange to the home. Designed primarily for higher download than upload. Performance generally declines as the copper loop gets longer.</w:t>
            </w:r>
          </w:p>
        </w:tc>
      </w:tr>
      <w:tr>
        <w:tc>
          <w:tcPr>
            <w:tcW w:type="dxa" w:w="2880"/>
            <w:shd w:fill="F7F9F7"/>
            <w:vAlign w:val="center"/>
            <w:tcMar>
              <w:top w:w="55" w:type="dxa"/>
              <w:start w:w="70" w:type="dxa"/>
              <w:bottom w:w="55" w:type="dxa"/>
              <w:end w:w="70" w:type="dxa"/>
            </w:tcMar>
          </w:tcPr>
          <w:p>
            <w:pPr>
              <w:spacing w:before="0" w:after="0"/>
            </w:pPr>
            <w:r/>
            <w:r>
              <w:rPr>
                <w:rFonts w:ascii="Arial" w:hAnsi="Arial"/>
                <w:b/>
                <w:color w:val="0F5A3A"/>
                <w:sz w:val="16"/>
              </w:rPr>
              <w:t>ADSL2+</w:t>
            </w:r>
          </w:p>
        </w:tc>
        <w:tc>
          <w:tcPr>
            <w:tcW w:type="dxa" w:w="12384"/>
            <w:shd w:fill="F7F9F7"/>
            <w:vAlign w:val="center"/>
            <w:tcMar>
              <w:top w:w="55" w:type="dxa"/>
              <w:start w:w="70" w:type="dxa"/>
              <w:bottom w:w="55" w:type="dxa"/>
              <w:end w:w="70" w:type="dxa"/>
            </w:tcMar>
          </w:tcPr>
          <w:p>
            <w:pPr>
              <w:spacing w:before="0" w:after="0"/>
            </w:pPr>
            <w:r/>
            <w:r>
              <w:rPr>
                <w:rFonts w:ascii="Arial" w:hAnsi="Arial"/>
                <w:b w:val="0"/>
                <w:color w:val="23382F"/>
                <w:sz w:val="16"/>
              </w:rPr>
              <w:t>An enhanced ADSL generation with higher potential downstream capacity than earlier ADSL, still strongly dependent on copper distance and condition.</w:t>
            </w:r>
          </w:p>
        </w:tc>
      </w:tr>
      <w:tr>
        <w:tc>
          <w:tcPr>
            <w:tcW w:type="dxa" w:w="2880"/>
            <w:shd w:fill="FFFFFF"/>
            <w:vAlign w:val="center"/>
            <w:tcMar>
              <w:top w:w="55" w:type="dxa"/>
              <w:start w:w="70" w:type="dxa"/>
              <w:bottom w:w="55" w:type="dxa"/>
              <w:end w:w="70" w:type="dxa"/>
            </w:tcMar>
          </w:tcPr>
          <w:p>
            <w:pPr>
              <w:spacing w:before="0" w:after="0"/>
            </w:pPr>
            <w:r/>
            <w:r>
              <w:rPr>
                <w:rFonts w:ascii="Arial" w:hAnsi="Arial"/>
                <w:b/>
                <w:color w:val="0F5A3A"/>
                <w:sz w:val="16"/>
              </w:rPr>
              <w:t>VDSL / VDSL2</w:t>
            </w:r>
          </w:p>
        </w:tc>
        <w:tc>
          <w:tcPr>
            <w:tcW w:type="dxa" w:w="12384"/>
            <w:shd w:fill="FFFFFF"/>
            <w:vAlign w:val="center"/>
            <w:tcMar>
              <w:top w:w="55" w:type="dxa"/>
              <w:start w:w="70" w:type="dxa"/>
              <w:bottom w:w="55" w:type="dxa"/>
              <w:end w:w="70" w:type="dxa"/>
            </w:tcMar>
          </w:tcPr>
          <w:p>
            <w:pPr>
              <w:spacing w:before="0" w:after="0"/>
            </w:pPr>
            <w:r/>
            <w:r>
              <w:rPr>
                <w:rFonts w:ascii="Arial" w:hAnsi="Arial"/>
                <w:b w:val="0"/>
                <w:color w:val="23382F"/>
                <w:sz w:val="16"/>
              </w:rPr>
              <w:t>Uses higher-frequency signalling and can provide substantially higher rates over shorter copper runs. Commonly paired with FTTC, where fibre reaches a street cabinet and copper completes the final segment.</w:t>
            </w:r>
          </w:p>
        </w:tc>
      </w:tr>
      <w:tr>
        <w:tc>
          <w:tcPr>
            <w:tcW w:type="dxa" w:w="2880"/>
            <w:shd w:fill="F7F9F7"/>
            <w:vAlign w:val="center"/>
            <w:tcMar>
              <w:top w:w="55" w:type="dxa"/>
              <w:start w:w="70" w:type="dxa"/>
              <w:bottom w:w="55" w:type="dxa"/>
              <w:end w:w="70" w:type="dxa"/>
            </w:tcMar>
          </w:tcPr>
          <w:p>
            <w:pPr>
              <w:spacing w:before="0" w:after="0"/>
            </w:pPr>
            <w:r/>
            <w:r>
              <w:rPr>
                <w:rFonts w:ascii="Arial" w:hAnsi="Arial"/>
                <w:b/>
                <w:color w:val="0F5A3A"/>
                <w:sz w:val="16"/>
              </w:rPr>
              <w:t>FTTC with VDSL</w:t>
            </w:r>
          </w:p>
        </w:tc>
        <w:tc>
          <w:tcPr>
            <w:tcW w:type="dxa" w:w="12384"/>
            <w:shd w:fill="F7F9F7"/>
            <w:vAlign w:val="center"/>
            <w:tcMar>
              <w:top w:w="55" w:type="dxa"/>
              <w:start w:w="70" w:type="dxa"/>
              <w:bottom w:w="55" w:type="dxa"/>
              <w:end w:w="70" w:type="dxa"/>
            </w:tcMar>
          </w:tcPr>
          <w:p>
            <w:pPr>
              <w:spacing w:before="0" w:after="0"/>
            </w:pPr>
            <w:r/>
            <w:r>
              <w:rPr>
                <w:rFonts w:ascii="Arial" w:hAnsi="Arial"/>
                <w:b w:val="0"/>
                <w:color w:val="23382F"/>
                <w:sz w:val="16"/>
              </w:rPr>
              <w:t>A mixed fibre/copper architecture: fibre runs to the cabinet, then VDSL runs over copper to the premises. It is not full fibre / FTTP.</w:t>
            </w:r>
          </w:p>
        </w:tc>
      </w:tr>
      <w:tr>
        <w:tc>
          <w:tcPr>
            <w:tcW w:type="dxa" w:w="2880"/>
            <w:shd w:fill="FFFFFF"/>
            <w:vAlign w:val="center"/>
            <w:tcMar>
              <w:top w:w="55" w:type="dxa"/>
              <w:start w:w="70" w:type="dxa"/>
              <w:bottom w:w="55" w:type="dxa"/>
              <w:end w:w="70" w:type="dxa"/>
            </w:tcMar>
          </w:tcPr>
          <w:p>
            <w:pPr>
              <w:spacing w:before="0" w:after="0"/>
            </w:pPr>
            <w:r/>
            <w:r>
              <w:rPr>
                <w:rFonts w:ascii="Arial" w:hAnsi="Arial"/>
                <w:b/>
                <w:color w:val="0F5A3A"/>
                <w:sz w:val="16"/>
              </w:rPr>
              <w:t>Other copper services</w:t>
            </w:r>
          </w:p>
        </w:tc>
        <w:tc>
          <w:tcPr>
            <w:tcW w:type="dxa" w:w="12384"/>
            <w:shd w:fill="FFFFFF"/>
            <w:vAlign w:val="center"/>
            <w:tcMar>
              <w:top w:w="55" w:type="dxa"/>
              <w:start w:w="70" w:type="dxa"/>
              <w:bottom w:w="55" w:type="dxa"/>
              <w:end w:w="70" w:type="dxa"/>
            </w:tcMar>
          </w:tcPr>
          <w:p>
            <w:pPr>
              <w:spacing w:before="0" w:after="0"/>
            </w:pPr>
            <w:r/>
            <w:r>
              <w:rPr>
                <w:rFonts w:ascii="Arial" w:hAnsi="Arial"/>
                <w:b w:val="0"/>
                <w:color w:val="23382F"/>
                <w:sz w:val="16"/>
              </w:rPr>
              <w:t>Some markets also use Ethernet-over-copper or specialist symmetric copper services, but these are not the normal household DSL baseline.</w:t>
            </w:r>
          </w:p>
        </w:tc>
      </w:tr>
    </w:tbl>
    <w:p>
      <w:pPr>
        <w:pStyle w:val="Heading2"/>
        <w:spacing w:before="100" w:after="40"/>
      </w:pPr>
      <w:r>
        <w:t>The physical path matters</w:t>
      </w:r>
    </w:p>
    <w:tbl>
      <w:tblPr>
        <w:tblW w:type="auto" w:w="0"/>
        <w:jc w:val="center"/>
        <w:tblLayout w:type="fixed"/>
        <w:tblLook w:firstColumn="1" w:firstRow="1" w:lastColumn="0" w:lastRow="0" w:noHBand="0" w:noVBand="1" w:val="04A0"/>
      </w:tblPr>
      <w:tblGrid>
        <w:gridCol w:w="2880"/>
        <w:gridCol w:w="12384"/>
      </w:tblGrid>
      <w:tr>
        <w:trPr>
          <w:tblHeader w:val="true"/>
        </w:trPr>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Factor</w:t>
            </w:r>
          </w:p>
        </w:tc>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Why it matters</w:t>
            </w:r>
          </w:p>
        </w:tc>
      </w:tr>
      <w:tr>
        <w:tc>
          <w:tcPr>
            <w:tcW w:type="dxa" w:w="2880"/>
            <w:shd w:fill="FFFFFF"/>
            <w:vAlign w:val="center"/>
            <w:tcMar>
              <w:top w:w="55" w:type="dxa"/>
              <w:start w:w="70" w:type="dxa"/>
              <w:bottom w:w="55" w:type="dxa"/>
              <w:end w:w="70" w:type="dxa"/>
            </w:tcMar>
          </w:tcPr>
          <w:p>
            <w:pPr>
              <w:spacing w:before="0" w:after="0"/>
            </w:pPr>
            <w:r/>
            <w:r>
              <w:rPr>
                <w:rFonts w:ascii="Arial" w:hAnsi="Arial"/>
                <w:b/>
                <w:color w:val="0F5A3A"/>
                <w:sz w:val="16"/>
              </w:rPr>
              <w:t>Copper loop length</w:t>
            </w:r>
          </w:p>
        </w:tc>
        <w:tc>
          <w:tcPr>
            <w:tcW w:type="dxa" w:w="12384"/>
            <w:shd w:fill="FFFFFF"/>
            <w:vAlign w:val="center"/>
            <w:tcMar>
              <w:top w:w="55" w:type="dxa"/>
              <w:start w:w="70" w:type="dxa"/>
              <w:bottom w:w="55" w:type="dxa"/>
              <w:end w:w="70" w:type="dxa"/>
            </w:tcMar>
          </w:tcPr>
          <w:p>
            <w:pPr>
              <w:spacing w:before="0" w:after="0"/>
            </w:pPr>
            <w:r/>
            <w:r>
              <w:rPr>
                <w:rFonts w:ascii="Arial" w:hAnsi="Arial"/>
                <w:b w:val="0"/>
                <w:color w:val="23382F"/>
                <w:sz w:val="16"/>
              </w:rPr>
              <w:t>Longer copper paths usually reduce attainable DSL performance. With FTTC/VDSL, the key distance is normally cabinet-to-premises rather than exchange-to-premises.</w:t>
            </w:r>
          </w:p>
        </w:tc>
      </w:tr>
      <w:tr>
        <w:tc>
          <w:tcPr>
            <w:tcW w:type="dxa" w:w="2880"/>
            <w:shd w:fill="F7F9F7"/>
            <w:vAlign w:val="center"/>
            <w:tcMar>
              <w:top w:w="55" w:type="dxa"/>
              <w:start w:w="70" w:type="dxa"/>
              <w:bottom w:w="55" w:type="dxa"/>
              <w:end w:w="70" w:type="dxa"/>
            </w:tcMar>
          </w:tcPr>
          <w:p>
            <w:pPr>
              <w:spacing w:before="0" w:after="0"/>
            </w:pPr>
            <w:r/>
            <w:r>
              <w:rPr>
                <w:rFonts w:ascii="Arial" w:hAnsi="Arial"/>
                <w:b/>
                <w:color w:val="0F5A3A"/>
                <w:sz w:val="16"/>
              </w:rPr>
              <w:t>Line condition</w:t>
            </w:r>
          </w:p>
        </w:tc>
        <w:tc>
          <w:tcPr>
            <w:tcW w:type="dxa" w:w="12384"/>
            <w:shd w:fill="F7F9F7"/>
            <w:vAlign w:val="center"/>
            <w:tcMar>
              <w:top w:w="55" w:type="dxa"/>
              <w:start w:w="70" w:type="dxa"/>
              <w:bottom w:w="55" w:type="dxa"/>
              <w:end w:w="70" w:type="dxa"/>
            </w:tcMar>
          </w:tcPr>
          <w:p>
            <w:pPr>
              <w:spacing w:before="0" w:after="0"/>
            </w:pPr>
            <w:r/>
            <w:r>
              <w:rPr>
                <w:rFonts w:ascii="Arial" w:hAnsi="Arial"/>
                <w:b w:val="0"/>
                <w:color w:val="23382F"/>
                <w:sz w:val="16"/>
              </w:rPr>
              <w:t>Poor joints, corrosion, damaged cable, water ingress and electrical noise can reduce stability or speed.</w:t>
            </w:r>
          </w:p>
        </w:tc>
      </w:tr>
      <w:tr>
        <w:tc>
          <w:tcPr>
            <w:tcW w:type="dxa" w:w="2880"/>
            <w:shd w:fill="FFFFFF"/>
            <w:vAlign w:val="center"/>
            <w:tcMar>
              <w:top w:w="55" w:type="dxa"/>
              <w:start w:w="70" w:type="dxa"/>
              <w:bottom w:w="55" w:type="dxa"/>
              <w:end w:w="70" w:type="dxa"/>
            </w:tcMar>
          </w:tcPr>
          <w:p>
            <w:pPr>
              <w:spacing w:before="0" w:after="0"/>
            </w:pPr>
            <w:r/>
            <w:r>
              <w:rPr>
                <w:rFonts w:ascii="Arial" w:hAnsi="Arial"/>
                <w:b/>
                <w:color w:val="0F5A3A"/>
                <w:sz w:val="16"/>
              </w:rPr>
              <w:t>In-home wiring</w:t>
            </w:r>
          </w:p>
        </w:tc>
        <w:tc>
          <w:tcPr>
            <w:tcW w:type="dxa" w:w="12384"/>
            <w:shd w:fill="FFFFFF"/>
            <w:vAlign w:val="center"/>
            <w:tcMar>
              <w:top w:w="55" w:type="dxa"/>
              <w:start w:w="70" w:type="dxa"/>
              <w:bottom w:w="55" w:type="dxa"/>
              <w:end w:w="70" w:type="dxa"/>
            </w:tcMar>
          </w:tcPr>
          <w:p>
            <w:pPr>
              <w:spacing w:before="0" w:after="0"/>
            </w:pPr>
            <w:r/>
            <w:r>
              <w:rPr>
                <w:rFonts w:ascii="Arial" w:hAnsi="Arial"/>
                <w:b w:val="0"/>
                <w:color w:val="23382F"/>
                <w:sz w:val="16"/>
              </w:rPr>
              <w:t>Old extensions, poor filters/splitters and internal wiring can add noise or reduce performance. Provider fault-finding rules vary.</w:t>
            </w:r>
          </w:p>
        </w:tc>
      </w:tr>
      <w:tr>
        <w:tc>
          <w:tcPr>
            <w:tcW w:type="dxa" w:w="2880"/>
            <w:shd w:fill="F7F9F7"/>
            <w:vAlign w:val="center"/>
            <w:tcMar>
              <w:top w:w="55" w:type="dxa"/>
              <w:start w:w="70" w:type="dxa"/>
              <w:bottom w:w="55" w:type="dxa"/>
              <w:end w:w="70" w:type="dxa"/>
            </w:tcMar>
          </w:tcPr>
          <w:p>
            <w:pPr>
              <w:spacing w:before="0" w:after="0"/>
            </w:pPr>
            <w:r/>
            <w:r>
              <w:rPr>
                <w:rFonts w:ascii="Arial" w:hAnsi="Arial"/>
                <w:b/>
                <w:color w:val="0F5A3A"/>
                <w:sz w:val="16"/>
              </w:rPr>
              <w:t>Upstream network</w:t>
            </w:r>
          </w:p>
        </w:tc>
        <w:tc>
          <w:tcPr>
            <w:tcW w:type="dxa" w:w="12384"/>
            <w:shd w:fill="F7F9F7"/>
            <w:vAlign w:val="center"/>
            <w:tcMar>
              <w:top w:w="55" w:type="dxa"/>
              <w:start w:w="70" w:type="dxa"/>
              <w:bottom w:w="55" w:type="dxa"/>
              <w:end w:w="70" w:type="dxa"/>
            </w:tcMar>
          </w:tcPr>
          <w:p>
            <w:pPr>
              <w:spacing w:before="0" w:after="0"/>
            </w:pPr>
            <w:r/>
            <w:r>
              <w:rPr>
                <w:rFonts w:ascii="Arial" w:hAnsi="Arial"/>
                <w:b w:val="0"/>
                <w:color w:val="23382F"/>
                <w:sz w:val="16"/>
              </w:rPr>
              <w:t>A good copper sync rate does not prevent congestion elsewhere in the provider network. Peak-time performance is a separate question.</w:t>
            </w:r>
          </w:p>
        </w:tc>
      </w:tr>
      <w:tr>
        <w:tc>
          <w:tcPr>
            <w:tcW w:type="dxa" w:w="2880"/>
            <w:shd w:fill="FFFFFF"/>
            <w:vAlign w:val="center"/>
            <w:tcMar>
              <w:top w:w="55" w:type="dxa"/>
              <w:start w:w="70" w:type="dxa"/>
              <w:bottom w:w="55" w:type="dxa"/>
              <w:end w:w="70" w:type="dxa"/>
            </w:tcMar>
          </w:tcPr>
          <w:p>
            <w:pPr>
              <w:spacing w:before="0" w:after="0"/>
            </w:pPr>
            <w:r/>
            <w:r>
              <w:rPr>
                <w:rFonts w:ascii="Arial" w:hAnsi="Arial"/>
                <w:b/>
                <w:color w:val="0F5A3A"/>
                <w:sz w:val="16"/>
              </w:rPr>
              <w:t>Power</w:t>
            </w:r>
          </w:p>
        </w:tc>
        <w:tc>
          <w:tcPr>
            <w:tcW w:type="dxa" w:w="12384"/>
            <w:shd w:fill="FFFFFF"/>
            <w:vAlign w:val="center"/>
            <w:tcMar>
              <w:top w:w="55" w:type="dxa"/>
              <w:start w:w="70" w:type="dxa"/>
              <w:bottom w:w="55" w:type="dxa"/>
              <w:end w:w="70" w:type="dxa"/>
            </w:tcMar>
          </w:tcPr>
          <w:p>
            <w:pPr>
              <w:spacing w:before="0" w:after="0"/>
            </w:pPr>
            <w:r/>
            <w:r>
              <w:rPr>
                <w:rFonts w:ascii="Arial" w:hAnsi="Arial"/>
                <w:b w:val="0"/>
                <w:color w:val="23382F"/>
                <w:sz w:val="16"/>
              </w:rPr>
              <w:t>The modem/router needs household power. FTTC cabinets and provider network equipment also depend on powered infrastructure and backup arrangements.</w:t>
            </w:r>
          </w:p>
        </w:tc>
      </w:tr>
    </w:tbl>
    <w:p>
      <w:pPr>
        <w:pStyle w:val="Heading2"/>
        <w:spacing w:before="100" w:after="40"/>
      </w:pPr>
      <w:r>
        <w:t>Typical equipment</w:t>
      </w:r>
    </w:p>
    <w:p>
      <w:r>
        <w:rPr>
          <w:b/>
        </w:rPr>
        <w:t xml:space="preserve">At the home: </w:t>
      </w:r>
      <w:r>
        <w:t>DSL modem or modem-router/gateway, telephone/copper wall socket, and—on some legacy voice/DSL setups—microfilters or splitters. A separate Wi-Fi router may be used if the modem is placed in bridge/modem-only mode where the provider supports it.</w:t>
      </w:r>
    </w:p>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2</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r>
              <w:rPr>
                <w:rFonts w:ascii="Georgia" w:hAnsi="Georgia"/>
                <w:b/>
                <w:color w:val="FFFFFF"/>
                <w:sz w:val="28"/>
              </w:rPr>
              <w:t>ONOCRA</w:t>
            </w:r>
          </w:p>
          <w:p>
            <w:pPr>
              <w:spacing w:after="0"/>
            </w:pPr>
            <w:r>
              <w:rPr>
                <w:rFonts w:ascii="Arial" w:hAnsi="Arial"/>
                <w:color w:val="DCE9E1"/>
                <w:sz w:val="16"/>
              </w:rPr>
              <w:t>Home Internet &amp; Wi-Fi · Technology guide</w:t>
            </w:r>
          </w:p>
        </w:tc>
      </w:tr>
    </w:tbl>
    <w:p>
      <w:pPr>
        <w:spacing w:after="60"/>
        <w:pBdr>
          <w:bottom w:val="single" w:sz="18" w:color="D99533"/>
        </w:pBdr>
      </w:pPr>
    </w:p>
    <w:p>
      <w:pPr>
        <w:pStyle w:val="Heading1"/>
        <w:spacing w:after="60"/>
      </w:pPr>
      <w:r>
        <w:t>2 · Performance and household use</w:t>
      </w:r>
    </w:p>
    <w:tbl>
      <w:tblPr>
        <w:tblW w:type="auto" w:w="0"/>
        <w:jc w:val="center"/>
        <w:tblLayout w:type="fixed"/>
        <w:tblLook w:firstColumn="1" w:firstRow="1" w:lastColumn="0" w:lastRow="0" w:noHBand="0" w:noVBand="1" w:val="04A0"/>
      </w:tblPr>
      <w:tblGrid>
        <w:gridCol w:w="3168"/>
        <w:gridCol w:w="12096"/>
      </w:tblGrid>
      <w:tr>
        <w:trPr>
          <w:tblHeader w:val="true"/>
        </w:trPr>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Performance factor</w:t>
            </w:r>
          </w:p>
        </w:tc>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What to expect</w:t>
            </w:r>
          </w:p>
        </w:tc>
      </w:tr>
      <w:tr>
        <w:tc>
          <w:tcPr>
            <w:tcW w:type="dxa" w:w="3168"/>
            <w:shd w:fill="FFFFFF"/>
            <w:vAlign w:val="center"/>
            <w:tcMar>
              <w:top w:w="55" w:type="dxa"/>
              <w:start w:w="70" w:type="dxa"/>
              <w:bottom w:w="55" w:type="dxa"/>
              <w:end w:w="70" w:type="dxa"/>
            </w:tcMar>
          </w:tcPr>
          <w:p>
            <w:pPr>
              <w:spacing w:before="0" w:after="0"/>
            </w:pPr>
            <w:r/>
            <w:r>
              <w:rPr>
                <w:rFonts w:ascii="Arial" w:hAnsi="Arial"/>
                <w:b/>
                <w:color w:val="0F5A3A"/>
                <w:sz w:val="15"/>
              </w:rPr>
              <w:t>Download capacity</w:t>
            </w:r>
          </w:p>
        </w:tc>
        <w:tc>
          <w:tcPr>
            <w:tcW w:type="dxa" w:w="12096"/>
            <w:shd w:fill="FFFFFF"/>
            <w:vAlign w:val="center"/>
            <w:tcMar>
              <w:top w:w="55" w:type="dxa"/>
              <w:start w:w="70" w:type="dxa"/>
              <w:bottom w:w="55" w:type="dxa"/>
              <w:end w:w="70" w:type="dxa"/>
            </w:tcMar>
          </w:tcPr>
          <w:p>
            <w:pPr>
              <w:spacing w:before="0" w:after="0"/>
            </w:pPr>
            <w:r/>
            <w:r>
              <w:rPr>
                <w:rFonts w:ascii="Arial" w:hAnsi="Arial"/>
                <w:b w:val="0"/>
                <w:color w:val="23382F"/>
                <w:sz w:val="15"/>
              </w:rPr>
              <w:t>Varies widely by DSL generation, line length, line quality and provider profile. Do not rely only on a national “up to” headline.</w:t>
            </w:r>
          </w:p>
        </w:tc>
      </w:tr>
      <w:tr>
        <w:tc>
          <w:tcPr>
            <w:tcW w:type="dxa" w:w="3168"/>
            <w:shd w:fill="F7F9F7"/>
            <w:vAlign w:val="center"/>
            <w:tcMar>
              <w:top w:w="55" w:type="dxa"/>
              <w:start w:w="70" w:type="dxa"/>
              <w:bottom w:w="55" w:type="dxa"/>
              <w:end w:w="70" w:type="dxa"/>
            </w:tcMar>
          </w:tcPr>
          <w:p>
            <w:pPr>
              <w:spacing w:before="0" w:after="0"/>
            </w:pPr>
            <w:r/>
            <w:r>
              <w:rPr>
                <w:rFonts w:ascii="Arial" w:hAnsi="Arial"/>
                <w:b/>
                <w:color w:val="0F5A3A"/>
                <w:sz w:val="15"/>
              </w:rPr>
              <w:t>Upload capacity</w:t>
            </w:r>
          </w:p>
        </w:tc>
        <w:tc>
          <w:tcPr>
            <w:tcW w:type="dxa" w:w="12096"/>
            <w:shd w:fill="F7F9F7"/>
            <w:vAlign w:val="center"/>
            <w:tcMar>
              <w:top w:w="55" w:type="dxa"/>
              <w:start w:w="70" w:type="dxa"/>
              <w:bottom w:w="55" w:type="dxa"/>
              <w:end w:w="70" w:type="dxa"/>
            </w:tcMar>
          </w:tcPr>
          <w:p>
            <w:pPr>
              <w:spacing w:before="0" w:after="0"/>
            </w:pPr>
            <w:r/>
            <w:r>
              <w:rPr>
                <w:rFonts w:ascii="Arial" w:hAnsi="Arial"/>
                <w:b w:val="0"/>
                <w:color w:val="23382F"/>
                <w:sz w:val="15"/>
              </w:rPr>
              <w:t>Usually materially lower than download, especially on ADSL-class services. This can affect cloud backup, large file uploads and several simultaneous video calls.</w:t>
            </w:r>
          </w:p>
        </w:tc>
      </w:tr>
      <w:tr>
        <w:tc>
          <w:tcPr>
            <w:tcW w:type="dxa" w:w="3168"/>
            <w:shd w:fill="FFFFFF"/>
            <w:vAlign w:val="center"/>
            <w:tcMar>
              <w:top w:w="55" w:type="dxa"/>
              <w:start w:w="70" w:type="dxa"/>
              <w:bottom w:w="55" w:type="dxa"/>
              <w:end w:w="70" w:type="dxa"/>
            </w:tcMar>
          </w:tcPr>
          <w:p>
            <w:pPr>
              <w:spacing w:before="0" w:after="0"/>
            </w:pPr>
            <w:r/>
            <w:r>
              <w:rPr>
                <w:rFonts w:ascii="Arial" w:hAnsi="Arial"/>
                <w:b/>
                <w:color w:val="0F5A3A"/>
                <w:sz w:val="15"/>
              </w:rPr>
              <w:t>Latency &amp; jitter</w:t>
            </w:r>
          </w:p>
        </w:tc>
        <w:tc>
          <w:tcPr>
            <w:tcW w:type="dxa" w:w="12096"/>
            <w:shd w:fill="FFFFFF"/>
            <w:vAlign w:val="center"/>
            <w:tcMar>
              <w:top w:w="55" w:type="dxa"/>
              <w:start w:w="70" w:type="dxa"/>
              <w:bottom w:w="55" w:type="dxa"/>
              <w:end w:w="70" w:type="dxa"/>
            </w:tcMar>
          </w:tcPr>
          <w:p>
            <w:pPr>
              <w:spacing w:before="0" w:after="0"/>
            </w:pPr>
            <w:r/>
            <w:r>
              <w:rPr>
                <w:rFonts w:ascii="Arial" w:hAnsi="Arial"/>
                <w:b w:val="0"/>
                <w:color w:val="23382F"/>
                <w:sz w:val="15"/>
              </w:rPr>
              <w:t>Can be perfectly usable for everyday work and streaming, but line quality, interleaving/error correction, congestion and provider routing can affect delay and variation.</w:t>
            </w:r>
          </w:p>
        </w:tc>
      </w:tr>
      <w:tr>
        <w:tc>
          <w:tcPr>
            <w:tcW w:type="dxa" w:w="3168"/>
            <w:shd w:fill="F7F9F7"/>
            <w:vAlign w:val="center"/>
            <w:tcMar>
              <w:top w:w="55" w:type="dxa"/>
              <w:start w:w="70" w:type="dxa"/>
              <w:bottom w:w="55" w:type="dxa"/>
              <w:end w:w="70" w:type="dxa"/>
            </w:tcMar>
          </w:tcPr>
          <w:p>
            <w:pPr>
              <w:spacing w:before="0" w:after="0"/>
            </w:pPr>
            <w:r/>
            <w:r>
              <w:rPr>
                <w:rFonts w:ascii="Arial" w:hAnsi="Arial"/>
                <w:b/>
                <w:color w:val="0F5A3A"/>
                <w:sz w:val="15"/>
              </w:rPr>
              <w:t>Stability</w:t>
            </w:r>
          </w:p>
        </w:tc>
        <w:tc>
          <w:tcPr>
            <w:tcW w:type="dxa" w:w="12096"/>
            <w:shd w:fill="F7F9F7"/>
            <w:vAlign w:val="center"/>
            <w:tcMar>
              <w:top w:w="55" w:type="dxa"/>
              <w:start w:w="70" w:type="dxa"/>
              <w:bottom w:w="55" w:type="dxa"/>
              <w:end w:w="70" w:type="dxa"/>
            </w:tcMar>
          </w:tcPr>
          <w:p>
            <w:pPr>
              <w:spacing w:before="0" w:after="0"/>
            </w:pPr>
            <w:r/>
            <w:r>
              <w:rPr>
                <w:rFonts w:ascii="Arial" w:hAnsi="Arial"/>
                <w:b w:val="0"/>
                <w:color w:val="23382F"/>
                <w:sz w:val="15"/>
              </w:rPr>
              <w:t>A healthy short copper line can be stable. Noisy or damaged lines may retrain, drop sync or reduce the negotiated rate.</w:t>
            </w:r>
          </w:p>
        </w:tc>
      </w:tr>
      <w:tr>
        <w:tc>
          <w:tcPr>
            <w:tcW w:type="dxa" w:w="3168"/>
            <w:shd w:fill="FFFFFF"/>
            <w:vAlign w:val="center"/>
            <w:tcMar>
              <w:top w:w="55" w:type="dxa"/>
              <w:start w:w="70" w:type="dxa"/>
              <w:bottom w:w="55" w:type="dxa"/>
              <w:end w:w="70" w:type="dxa"/>
            </w:tcMar>
          </w:tcPr>
          <w:p>
            <w:pPr>
              <w:spacing w:before="0" w:after="0"/>
            </w:pPr>
            <w:r/>
            <w:r>
              <w:rPr>
                <w:rFonts w:ascii="Arial" w:hAnsi="Arial"/>
                <w:b/>
                <w:color w:val="0F5A3A"/>
                <w:sz w:val="15"/>
              </w:rPr>
              <w:t>Peak-time consistency</w:t>
            </w:r>
          </w:p>
        </w:tc>
        <w:tc>
          <w:tcPr>
            <w:tcW w:type="dxa" w:w="12096"/>
            <w:shd w:fill="FFFFFF"/>
            <w:vAlign w:val="center"/>
            <w:tcMar>
              <w:top w:w="55" w:type="dxa"/>
              <w:start w:w="70" w:type="dxa"/>
              <w:bottom w:w="55" w:type="dxa"/>
              <w:end w:w="70" w:type="dxa"/>
            </w:tcMar>
          </w:tcPr>
          <w:p>
            <w:pPr>
              <w:spacing w:before="0" w:after="0"/>
            </w:pPr>
            <w:r/>
            <w:r>
              <w:rPr>
                <w:rFonts w:ascii="Arial" w:hAnsi="Arial"/>
                <w:b w:val="0"/>
                <w:color w:val="23382F"/>
                <w:sz w:val="15"/>
              </w:rPr>
              <w:t>The copper sync rate may stay similar while real internet throughput falls because congestion occurs elsewhere in the network.</w:t>
            </w:r>
          </w:p>
        </w:tc>
      </w:tr>
      <w:tr>
        <w:tc>
          <w:tcPr>
            <w:tcW w:type="dxa" w:w="3168"/>
            <w:shd w:fill="F7F9F7"/>
            <w:vAlign w:val="center"/>
            <w:tcMar>
              <w:top w:w="55" w:type="dxa"/>
              <w:start w:w="70" w:type="dxa"/>
              <w:bottom w:w="55" w:type="dxa"/>
              <w:end w:w="70" w:type="dxa"/>
            </w:tcMar>
          </w:tcPr>
          <w:p>
            <w:pPr>
              <w:spacing w:before="0" w:after="0"/>
            </w:pPr>
            <w:r/>
            <w:r>
              <w:rPr>
                <w:rFonts w:ascii="Arial" w:hAnsi="Arial"/>
                <w:b/>
                <w:color w:val="0F5A3A"/>
                <w:sz w:val="15"/>
              </w:rPr>
              <w:t>Distance sensitivity</w:t>
            </w:r>
          </w:p>
        </w:tc>
        <w:tc>
          <w:tcPr>
            <w:tcW w:type="dxa" w:w="12096"/>
            <w:shd w:fill="F7F9F7"/>
            <w:vAlign w:val="center"/>
            <w:tcMar>
              <w:top w:w="55" w:type="dxa"/>
              <w:start w:w="70" w:type="dxa"/>
              <w:bottom w:w="55" w:type="dxa"/>
              <w:end w:w="70" w:type="dxa"/>
            </w:tcMar>
          </w:tcPr>
          <w:p>
            <w:pPr>
              <w:spacing w:before="0" w:after="0"/>
            </w:pPr>
            <w:r/>
            <w:r>
              <w:rPr>
                <w:rFonts w:ascii="Arial" w:hAnsi="Arial"/>
                <w:b w:val="0"/>
                <w:color w:val="23382F"/>
                <w:sz w:val="15"/>
              </w:rPr>
              <w:t>A defining DSL limitation. Shorter copper segments—especially VDSL from a nearby cabinet—can perform much better than long exchange-fed loops.</w:t>
            </w:r>
          </w:p>
        </w:tc>
      </w:tr>
    </w:tbl>
    <w:p>
      <w:pPr>
        <w:pStyle w:val="Heading2"/>
        <w:spacing w:before="100" w:after="40"/>
      </w:pPr>
      <w:r>
        <w:t>Household-fit guide</w:t>
      </w:r>
    </w:p>
    <w:tbl>
      <w:tblPr>
        <w:tblW w:type="auto" w:w="0"/>
        <w:jc w:val="center"/>
        <w:tblLayout w:type="fixed"/>
        <w:tblLook w:firstColumn="1" w:firstRow="1" w:lastColumn="0" w:lastRow="0" w:noHBand="0" w:noVBand="1" w:val="04A0"/>
      </w:tblPr>
      <w:tblGrid>
        <w:gridCol w:w="3744"/>
        <w:gridCol w:w="11520"/>
      </w:tblGrid>
      <w:tr>
        <w:trPr>
          <w:tblHeader w:val="true"/>
        </w:trPr>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Use case</w:t>
            </w:r>
          </w:p>
        </w:tc>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Practical interpretation</w:t>
            </w:r>
          </w:p>
        </w:tc>
      </w:tr>
      <w:tr>
        <w:tc>
          <w:tcPr>
            <w:tcW w:type="dxa" w:w="3744"/>
            <w:shd w:fill="FFFFFF"/>
            <w:vAlign w:val="center"/>
            <w:tcMar>
              <w:top w:w="55" w:type="dxa"/>
              <w:start w:w="70" w:type="dxa"/>
              <w:bottom w:w="55" w:type="dxa"/>
              <w:end w:w="70" w:type="dxa"/>
            </w:tcMar>
          </w:tcPr>
          <w:p>
            <w:pPr>
              <w:spacing w:before="0" w:after="0"/>
            </w:pPr>
            <w:r/>
            <w:r>
              <w:rPr>
                <w:rFonts w:ascii="Arial" w:hAnsi="Arial"/>
                <w:b/>
                <w:color w:val="0F5A3A"/>
                <w:sz w:val="15"/>
              </w:rPr>
              <w:t>Light browsing, email, messaging</w:t>
            </w:r>
          </w:p>
        </w:tc>
        <w:tc>
          <w:tcPr>
            <w:tcW w:type="dxa" w:w="11520"/>
            <w:shd w:fill="FFFFFF"/>
            <w:vAlign w:val="center"/>
            <w:tcMar>
              <w:top w:w="55" w:type="dxa"/>
              <w:start w:w="70" w:type="dxa"/>
              <w:bottom w:w="55" w:type="dxa"/>
              <w:end w:w="70" w:type="dxa"/>
            </w:tcMar>
          </w:tcPr>
          <w:p>
            <w:pPr>
              <w:spacing w:before="0" w:after="0"/>
            </w:pPr>
            <w:r/>
            <w:r>
              <w:rPr>
                <w:rFonts w:ascii="Arial" w:hAnsi="Arial"/>
                <w:b w:val="0"/>
                <w:color w:val="23382F"/>
                <w:sz w:val="15"/>
              </w:rPr>
              <w:t>Often adequate when the line is stable and the plan provides enough real throughput.</w:t>
            </w:r>
          </w:p>
        </w:tc>
      </w:tr>
      <w:tr>
        <w:tc>
          <w:tcPr>
            <w:tcW w:type="dxa" w:w="3744"/>
            <w:shd w:fill="F7F9F7"/>
            <w:vAlign w:val="center"/>
            <w:tcMar>
              <w:top w:w="55" w:type="dxa"/>
              <w:start w:w="70" w:type="dxa"/>
              <w:bottom w:w="55" w:type="dxa"/>
              <w:end w:w="70" w:type="dxa"/>
            </w:tcMar>
          </w:tcPr>
          <w:p>
            <w:pPr>
              <w:spacing w:before="0" w:after="0"/>
            </w:pPr>
            <w:r/>
            <w:r>
              <w:rPr>
                <w:rFonts w:ascii="Arial" w:hAnsi="Arial"/>
                <w:b/>
                <w:color w:val="0F5A3A"/>
                <w:sz w:val="15"/>
              </w:rPr>
              <w:t>HD / 4K streaming</w:t>
            </w:r>
          </w:p>
        </w:tc>
        <w:tc>
          <w:tcPr>
            <w:tcW w:type="dxa" w:w="11520"/>
            <w:shd w:fill="F7F9F7"/>
            <w:vAlign w:val="center"/>
            <w:tcMar>
              <w:top w:w="55" w:type="dxa"/>
              <w:start w:w="70" w:type="dxa"/>
              <w:bottom w:w="55" w:type="dxa"/>
              <w:end w:w="70" w:type="dxa"/>
            </w:tcMar>
          </w:tcPr>
          <w:p>
            <w:pPr>
              <w:spacing w:before="0" w:after="0"/>
            </w:pPr>
            <w:r/>
            <w:r>
              <w:rPr>
                <w:rFonts w:ascii="Arial" w:hAnsi="Arial"/>
                <w:b w:val="0"/>
                <w:color w:val="23382F"/>
                <w:sz w:val="15"/>
              </w:rPr>
              <w:t>Can be suitable on faster VDSL-class lines; multiple simultaneous streams may overwhelm slower lines.</w:t>
            </w:r>
          </w:p>
        </w:tc>
      </w:tr>
      <w:tr>
        <w:tc>
          <w:tcPr>
            <w:tcW w:type="dxa" w:w="3744"/>
            <w:shd w:fill="FFFFFF"/>
            <w:vAlign w:val="center"/>
            <w:tcMar>
              <w:top w:w="55" w:type="dxa"/>
              <w:start w:w="70" w:type="dxa"/>
              <w:bottom w:w="55" w:type="dxa"/>
              <w:end w:w="70" w:type="dxa"/>
            </w:tcMar>
          </w:tcPr>
          <w:p>
            <w:pPr>
              <w:spacing w:before="0" w:after="0"/>
            </w:pPr>
            <w:r/>
            <w:r>
              <w:rPr>
                <w:rFonts w:ascii="Arial" w:hAnsi="Arial"/>
                <w:b/>
                <w:color w:val="0F5A3A"/>
                <w:sz w:val="15"/>
              </w:rPr>
              <w:t>Remote work and video calls</w:t>
            </w:r>
          </w:p>
        </w:tc>
        <w:tc>
          <w:tcPr>
            <w:tcW w:type="dxa" w:w="11520"/>
            <w:shd w:fill="FFFFFF"/>
            <w:vAlign w:val="center"/>
            <w:tcMar>
              <w:top w:w="55" w:type="dxa"/>
              <w:start w:w="70" w:type="dxa"/>
              <w:bottom w:w="55" w:type="dxa"/>
              <w:end w:w="70" w:type="dxa"/>
            </w:tcMar>
          </w:tcPr>
          <w:p>
            <w:pPr>
              <w:spacing w:before="0" w:after="0"/>
            </w:pPr>
            <w:r/>
            <w:r>
              <w:rPr>
                <w:rFonts w:ascii="Arial" w:hAnsi="Arial"/>
                <w:b w:val="0"/>
                <w:color w:val="23382F"/>
                <w:sz w:val="15"/>
              </w:rPr>
              <w:t>Often workable, but upload rate and stability matter as much as headline download speed.</w:t>
            </w:r>
          </w:p>
        </w:tc>
      </w:tr>
      <w:tr>
        <w:tc>
          <w:tcPr>
            <w:tcW w:type="dxa" w:w="3744"/>
            <w:shd w:fill="F7F9F7"/>
            <w:vAlign w:val="center"/>
            <w:tcMar>
              <w:top w:w="55" w:type="dxa"/>
              <w:start w:w="70" w:type="dxa"/>
              <w:bottom w:w="55" w:type="dxa"/>
              <w:end w:w="70" w:type="dxa"/>
            </w:tcMar>
          </w:tcPr>
          <w:p>
            <w:pPr>
              <w:spacing w:before="0" w:after="0"/>
            </w:pPr>
            <w:r/>
            <w:r>
              <w:rPr>
                <w:rFonts w:ascii="Arial" w:hAnsi="Arial"/>
                <w:b/>
                <w:color w:val="0F5A3A"/>
                <w:sz w:val="15"/>
              </w:rPr>
              <w:t>Cloud backup / creator uploads</w:t>
            </w:r>
          </w:p>
        </w:tc>
        <w:tc>
          <w:tcPr>
            <w:tcW w:type="dxa" w:w="11520"/>
            <w:shd w:fill="F7F9F7"/>
            <w:vAlign w:val="center"/>
            <w:tcMar>
              <w:top w:w="55" w:type="dxa"/>
              <w:start w:w="70" w:type="dxa"/>
              <w:bottom w:w="55" w:type="dxa"/>
              <w:end w:w="70" w:type="dxa"/>
            </w:tcMar>
          </w:tcPr>
          <w:p>
            <w:pPr>
              <w:spacing w:before="0" w:after="0"/>
            </w:pPr>
            <w:r/>
            <w:r>
              <w:rPr>
                <w:rFonts w:ascii="Arial" w:hAnsi="Arial"/>
                <w:b w:val="0"/>
                <w:color w:val="23382F"/>
                <w:sz w:val="15"/>
              </w:rPr>
              <w:t>Can be slow on low-upload DSL tiers; check the stated upload rate before relying on it.</w:t>
            </w:r>
          </w:p>
        </w:tc>
      </w:tr>
      <w:tr>
        <w:tc>
          <w:tcPr>
            <w:tcW w:type="dxa" w:w="3744"/>
            <w:shd w:fill="FFFFFF"/>
            <w:vAlign w:val="center"/>
            <w:tcMar>
              <w:top w:w="55" w:type="dxa"/>
              <w:start w:w="70" w:type="dxa"/>
              <w:bottom w:w="55" w:type="dxa"/>
              <w:end w:w="70" w:type="dxa"/>
            </w:tcMar>
          </w:tcPr>
          <w:p>
            <w:pPr>
              <w:spacing w:before="0" w:after="0"/>
            </w:pPr>
            <w:r/>
            <w:r>
              <w:rPr>
                <w:rFonts w:ascii="Arial" w:hAnsi="Arial"/>
                <w:b/>
                <w:color w:val="0F5A3A"/>
                <w:sz w:val="15"/>
              </w:rPr>
              <w:t>Gaming</w:t>
            </w:r>
          </w:p>
        </w:tc>
        <w:tc>
          <w:tcPr>
            <w:tcW w:type="dxa" w:w="11520"/>
            <w:shd w:fill="FFFFFF"/>
            <w:vAlign w:val="center"/>
            <w:tcMar>
              <w:top w:w="55" w:type="dxa"/>
              <w:start w:w="70" w:type="dxa"/>
              <w:bottom w:w="55" w:type="dxa"/>
              <w:end w:w="70" w:type="dxa"/>
            </w:tcMar>
          </w:tcPr>
          <w:p>
            <w:pPr>
              <w:spacing w:before="0" w:after="0"/>
            </w:pPr>
            <w:r/>
            <w:r>
              <w:rPr>
                <w:rFonts w:ascii="Arial" w:hAnsi="Arial"/>
                <w:b w:val="0"/>
                <w:color w:val="23382F"/>
                <w:sz w:val="15"/>
              </w:rPr>
              <w:t>May work well on a stable line. Test latency/jitter at the times you actually play; Wi-Fi can be a separate bottleneck.</w:t>
            </w:r>
          </w:p>
        </w:tc>
      </w:tr>
      <w:tr>
        <w:tc>
          <w:tcPr>
            <w:tcW w:type="dxa" w:w="3744"/>
            <w:shd w:fill="F7F9F7"/>
            <w:vAlign w:val="center"/>
            <w:tcMar>
              <w:top w:w="55" w:type="dxa"/>
              <w:start w:w="70" w:type="dxa"/>
              <w:bottom w:w="55" w:type="dxa"/>
              <w:end w:w="70" w:type="dxa"/>
            </w:tcMar>
          </w:tcPr>
          <w:p>
            <w:pPr>
              <w:spacing w:before="0" w:after="0"/>
            </w:pPr>
            <w:r/>
            <w:r>
              <w:rPr>
                <w:rFonts w:ascii="Arial" w:hAnsi="Arial"/>
                <w:b/>
                <w:color w:val="0F5A3A"/>
                <w:sz w:val="15"/>
              </w:rPr>
              <w:t>Many devices / busy household</w:t>
            </w:r>
          </w:p>
        </w:tc>
        <w:tc>
          <w:tcPr>
            <w:tcW w:type="dxa" w:w="11520"/>
            <w:shd w:fill="F7F9F7"/>
            <w:vAlign w:val="center"/>
            <w:tcMar>
              <w:top w:w="55" w:type="dxa"/>
              <w:start w:w="70" w:type="dxa"/>
              <w:bottom w:w="55" w:type="dxa"/>
              <w:end w:w="70" w:type="dxa"/>
            </w:tcMar>
          </w:tcPr>
          <w:p>
            <w:pPr>
              <w:spacing w:before="0" w:after="0"/>
            </w:pPr>
            <w:r/>
            <w:r>
              <w:rPr>
                <w:rFonts w:ascii="Arial" w:hAnsi="Arial"/>
                <w:b w:val="0"/>
                <w:color w:val="23382F"/>
                <w:sz w:val="15"/>
              </w:rPr>
              <w:t>A slower DSL line can become the limiting shared resource even when the home Wi-Fi is excellent.</w:t>
            </w:r>
          </w:p>
        </w:tc>
      </w:tr>
    </w:tbl>
    <w:tbl>
      <w:tblPr>
        <w:tblW w:type="auto" w:w="0"/>
        <w:tblLook w:firstColumn="1" w:firstRow="1" w:lastColumn="0" w:lastRow="0" w:noHBand="0" w:noVBand="1" w:val="04A0"/>
      </w:tblPr>
      <w:tblGrid>
        <w:gridCol w:w="15624"/>
      </w:tblGrid>
      <w:tr>
        <w:tc>
          <w:tcPr>
            <w:tcW w:type="dxa" w:w="15624"/>
            <w:shd w:fill="EEF6F0"/>
            <w:tcMar>
              <w:top w:w="90" w:type="dxa"/>
              <w:start w:w="110" w:type="dxa"/>
              <w:bottom w:w="90" w:type="dxa"/>
              <w:end w:w="110" w:type="dxa"/>
            </w:tcMar>
          </w:tcPr>
          <w:p>
            <w:r/>
            <w:r>
              <w:rPr>
                <w:b/>
                <w:color w:val="0F5A3A"/>
              </w:rPr>
              <w:t xml:space="preserve">Do not confuse Wi-Fi speed with DSL speed. </w:t>
            </w:r>
            <w:r>
              <w:t>A modern Wi-Fi 6/7 router cannot make the copper access line faster than the broadband service itself. Test by Ethernet when possible to separate local Wi-Fi limits from the internet access line.</w:t>
            </w:r>
          </w:p>
        </w:tc>
      </w:tr>
    </w:tbl>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3</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r>
              <w:rPr>
                <w:rFonts w:ascii="Georgia" w:hAnsi="Georgia"/>
                <w:b/>
                <w:color w:val="FFFFFF"/>
                <w:sz w:val="28"/>
              </w:rPr>
              <w:t>ONOCRA</w:t>
            </w:r>
          </w:p>
          <w:p>
            <w:pPr>
              <w:spacing w:after="0"/>
            </w:pPr>
            <w:r>
              <w:rPr>
                <w:rFonts w:ascii="Arial" w:hAnsi="Arial"/>
                <w:color w:val="DCE9E1"/>
                <w:sz w:val="16"/>
              </w:rPr>
              <w:t>Home Internet &amp; Wi-Fi · Technology guide</w:t>
            </w:r>
          </w:p>
        </w:tc>
      </w:tr>
    </w:tbl>
    <w:p>
      <w:pPr>
        <w:spacing w:after="60"/>
        <w:pBdr>
          <w:bottom w:val="single" w:sz="18" w:color="D99533"/>
        </w:pBdr>
      </w:pPr>
    </w:p>
    <w:p>
      <w:pPr>
        <w:pStyle w:val="Heading1"/>
        <w:spacing w:after="60"/>
      </w:pPr>
      <w:r>
        <w:t>3 · Availability and regional transition — US / UK / Germany</w:t>
      </w:r>
    </w:p>
    <w:tbl>
      <w:tblPr>
        <w:tblW w:type="auto" w:w="0"/>
        <w:jc w:val="center"/>
        <w:tblLayout w:type="fixed"/>
        <w:tblLook w:firstColumn="1" w:firstRow="1" w:lastColumn="0" w:lastRow="0" w:noHBand="0" w:noVBand="1" w:val="04A0"/>
      </w:tblPr>
      <w:tblGrid>
        <w:gridCol w:w="2160"/>
        <w:gridCol w:w="2016"/>
        <w:gridCol w:w="7920"/>
        <w:gridCol w:w="3456"/>
      </w:tblGrid>
      <w:tr>
        <w:trPr>
          <w:tblHeader w:val="true"/>
        </w:trPr>
        <w:tc>
          <w:tcPr>
            <w:tcW w:type="dxa" w:w="3906"/>
            <w:shd w:fill="0F5A3A"/>
            <w:vAlign w:val="center"/>
            <w:tcMar>
              <w:top w:w="55" w:type="dxa"/>
              <w:start w:w="70" w:type="dxa"/>
              <w:bottom w:w="55" w:type="dxa"/>
              <w:end w:w="70" w:type="dxa"/>
            </w:tcMar>
          </w:tcPr>
          <w:p>
            <w:pPr>
              <w:spacing w:before="0" w:after="0"/>
            </w:pPr>
            <w:r/>
            <w:r>
              <w:rPr>
                <w:rFonts w:ascii="Arial" w:hAnsi="Arial"/>
                <w:b/>
                <w:color w:val="FFFFFF"/>
                <w:sz w:val="15"/>
              </w:rPr>
              <w:t>Market</w:t>
            </w:r>
          </w:p>
        </w:tc>
        <w:tc>
          <w:tcPr>
            <w:tcW w:type="dxa" w:w="3906"/>
            <w:shd w:fill="0F5A3A"/>
            <w:vAlign w:val="center"/>
            <w:tcMar>
              <w:top w:w="55" w:type="dxa"/>
              <w:start w:w="70" w:type="dxa"/>
              <w:bottom w:w="55" w:type="dxa"/>
              <w:end w:w="70" w:type="dxa"/>
            </w:tcMar>
          </w:tcPr>
          <w:p>
            <w:pPr>
              <w:spacing w:before="0" w:after="0"/>
            </w:pPr>
            <w:r/>
            <w:r>
              <w:rPr>
                <w:rFonts w:ascii="Arial" w:hAnsi="Arial"/>
                <w:b/>
                <w:color w:val="FFFFFF"/>
                <w:sz w:val="15"/>
              </w:rPr>
              <w:t>ONOCRA status</w:t>
            </w:r>
          </w:p>
        </w:tc>
        <w:tc>
          <w:tcPr>
            <w:tcW w:type="dxa" w:w="3906"/>
            <w:shd w:fill="0F5A3A"/>
            <w:vAlign w:val="center"/>
            <w:tcMar>
              <w:top w:w="55" w:type="dxa"/>
              <w:start w:w="70" w:type="dxa"/>
              <w:bottom w:w="55" w:type="dxa"/>
              <w:end w:w="70" w:type="dxa"/>
            </w:tcMar>
          </w:tcPr>
          <w:p>
            <w:pPr>
              <w:spacing w:before="0" w:after="0"/>
            </w:pPr>
            <w:r/>
            <w:r>
              <w:rPr>
                <w:rFonts w:ascii="Arial" w:hAnsi="Arial"/>
                <w:b/>
                <w:color w:val="FFFFFF"/>
                <w:sz w:val="15"/>
              </w:rPr>
              <w:t>What that means</w:t>
            </w:r>
          </w:p>
        </w:tc>
        <w:tc>
          <w:tcPr>
            <w:tcW w:type="dxa" w:w="3906"/>
            <w:shd w:fill="0F5A3A"/>
            <w:vAlign w:val="center"/>
            <w:tcMar>
              <w:top w:w="55" w:type="dxa"/>
              <w:start w:w="70" w:type="dxa"/>
              <w:bottom w:w="55" w:type="dxa"/>
              <w:end w:w="70" w:type="dxa"/>
            </w:tcMar>
          </w:tcPr>
          <w:p>
            <w:pPr>
              <w:spacing w:before="0" w:after="0"/>
            </w:pPr>
            <w:r/>
            <w:r>
              <w:rPr>
                <w:rFonts w:ascii="Arial" w:hAnsi="Arial"/>
                <w:b/>
                <w:color w:val="FFFFFF"/>
                <w:sz w:val="15"/>
              </w:rPr>
              <w:t>Verify with</w:t>
            </w:r>
          </w:p>
        </w:tc>
      </w:tr>
      <w:tr>
        <w:tc>
          <w:tcPr>
            <w:tcW w:type="dxa" w:w="2160"/>
            <w:shd w:fill="FFFFFF"/>
            <w:vAlign w:val="center"/>
            <w:tcMar>
              <w:top w:w="55" w:type="dxa"/>
              <w:start w:w="70" w:type="dxa"/>
              <w:bottom w:w="55" w:type="dxa"/>
              <w:end w:w="70" w:type="dxa"/>
            </w:tcMar>
          </w:tcPr>
          <w:p>
            <w:pPr>
              <w:spacing w:before="0" w:after="0"/>
            </w:pPr>
            <w:r/>
            <w:r>
              <w:rPr>
                <w:rFonts w:ascii="Arial" w:hAnsi="Arial"/>
                <w:b/>
                <w:color w:val="0F5A3A"/>
                <w:sz w:val="14"/>
              </w:rPr>
              <w:t>United States</w:t>
            </w:r>
          </w:p>
        </w:tc>
        <w:tc>
          <w:tcPr>
            <w:tcW w:type="dxa" w:w="2016"/>
            <w:shd w:fill="FFFFFF"/>
            <w:vAlign w:val="center"/>
            <w:tcMar>
              <w:top w:w="55" w:type="dxa"/>
              <w:start w:w="70" w:type="dxa"/>
              <w:bottom w:w="55" w:type="dxa"/>
              <w:end w:w="70" w:type="dxa"/>
            </w:tcMar>
          </w:tcPr>
          <w:p>
            <w:pPr>
              <w:spacing w:before="0" w:after="0"/>
            </w:pPr>
            <w:r/>
            <w:r>
              <w:rPr>
                <w:rFonts w:ascii="Arial" w:hAnsi="Arial"/>
                <w:b w:val="0"/>
                <w:color w:val="23382F"/>
                <w:sz w:val="14"/>
              </w:rPr>
              <w:t>Legacy / declining</w:t>
            </w:r>
          </w:p>
        </w:tc>
        <w:tc>
          <w:tcPr>
            <w:tcW w:type="dxa" w:w="7920"/>
            <w:shd w:fill="FFFFFF"/>
            <w:vAlign w:val="center"/>
            <w:tcMar>
              <w:top w:w="55" w:type="dxa"/>
              <w:start w:w="70" w:type="dxa"/>
              <w:bottom w:w="55" w:type="dxa"/>
              <w:end w:w="70" w:type="dxa"/>
            </w:tcMar>
          </w:tcPr>
          <w:p>
            <w:pPr>
              <w:spacing w:before="0" w:after="0"/>
            </w:pPr>
            <w:r/>
            <w:r>
              <w:rPr>
                <w:rFonts w:ascii="Arial" w:hAnsi="Arial"/>
                <w:b w:val="0"/>
                <w:color w:val="23382F"/>
                <w:sz w:val="14"/>
              </w:rPr>
              <w:t>The FCC National Broadband Map still treats Copper Wire (including xDSL) as a fixed broadband technology and provides location-level availability data reported by ISPs. Availability is provider- and address-specific; use the fixed map rather than assuming a national footprint.</w:t>
            </w:r>
          </w:p>
        </w:tc>
        <w:tc>
          <w:tcPr>
            <w:tcW w:type="dxa" w:w="3456"/>
            <w:shd w:fill="FFFFFF"/>
            <w:vAlign w:val="center"/>
            <w:tcMar>
              <w:top w:w="55" w:type="dxa"/>
              <w:start w:w="70" w:type="dxa"/>
              <w:bottom w:w="55" w:type="dxa"/>
              <w:end w:w="70" w:type="dxa"/>
            </w:tcMar>
          </w:tcPr>
          <w:p>
            <w:pPr>
              <w:spacing w:before="0" w:after="0"/>
            </w:pPr>
            <w:r/>
            <w:r>
              <w:rPr>
                <w:rFonts w:ascii="Arial" w:hAnsi="Arial"/>
                <w:b w:val="0"/>
                <w:color w:val="23382F"/>
                <w:sz w:val="14"/>
              </w:rPr>
              <w:t>FCC National Broadband Map / BDC technology code 10 (Copper Wire).</w:t>
            </w:r>
          </w:p>
        </w:tc>
      </w:tr>
      <w:tr>
        <w:tc>
          <w:tcPr>
            <w:tcW w:type="dxa" w:w="2160"/>
            <w:shd w:fill="F7F9F7"/>
            <w:vAlign w:val="center"/>
            <w:tcMar>
              <w:top w:w="55" w:type="dxa"/>
              <w:start w:w="70" w:type="dxa"/>
              <w:bottom w:w="55" w:type="dxa"/>
              <w:end w:w="70" w:type="dxa"/>
            </w:tcMar>
          </w:tcPr>
          <w:p>
            <w:pPr>
              <w:spacing w:before="0" w:after="0"/>
            </w:pPr>
            <w:r/>
            <w:r>
              <w:rPr>
                <w:rFonts w:ascii="Arial" w:hAnsi="Arial"/>
                <w:b/>
                <w:color w:val="0F5A3A"/>
                <w:sz w:val="14"/>
              </w:rPr>
              <w:t>United Kingdom</w:t>
            </w:r>
          </w:p>
        </w:tc>
        <w:tc>
          <w:tcPr>
            <w:tcW w:type="dxa" w:w="2016"/>
            <w:shd w:fill="F7F9F7"/>
            <w:vAlign w:val="center"/>
            <w:tcMar>
              <w:top w:w="55" w:type="dxa"/>
              <w:start w:w="70" w:type="dxa"/>
              <w:bottom w:w="55" w:type="dxa"/>
              <w:end w:w="70" w:type="dxa"/>
            </w:tcMar>
          </w:tcPr>
          <w:p>
            <w:pPr>
              <w:spacing w:before="0" w:after="0"/>
            </w:pPr>
            <w:r/>
            <w:r>
              <w:rPr>
                <w:rFonts w:ascii="Arial" w:hAnsi="Arial"/>
                <w:b w:val="0"/>
                <w:color w:val="23382F"/>
                <w:sz w:val="14"/>
              </w:rPr>
              <w:t>Legacy / active transition</w:t>
            </w:r>
          </w:p>
        </w:tc>
        <w:tc>
          <w:tcPr>
            <w:tcW w:type="dxa" w:w="7920"/>
            <w:shd w:fill="F7F9F7"/>
            <w:vAlign w:val="center"/>
            <w:tcMar>
              <w:top w:w="55" w:type="dxa"/>
              <w:start w:w="70" w:type="dxa"/>
              <w:bottom w:w="55" w:type="dxa"/>
              <w:end w:w="70" w:type="dxa"/>
            </w:tcMar>
          </w:tcPr>
          <w:p>
            <w:pPr>
              <w:spacing w:before="0" w:after="0"/>
            </w:pPr>
            <w:r/>
            <w:r>
              <w:rPr>
                <w:rFonts w:ascii="Arial" w:hAnsi="Arial"/>
                <w:b w:val="0"/>
                <w:color w:val="23382F"/>
                <w:sz w:val="14"/>
              </w:rPr>
              <w:t>Standard copper broadband is being retired as the PSTN moves to digital service. Openreach states the PSTN retirement date is 31 January 2027. FTTC is different: the cabinet-to-home copper segment can remain in service until Full Fibre reaches the area.</w:t>
            </w:r>
          </w:p>
        </w:tc>
        <w:tc>
          <w:tcPr>
            <w:tcW w:type="dxa" w:w="3456"/>
            <w:shd w:fill="F7F9F7"/>
            <w:vAlign w:val="center"/>
            <w:tcMar>
              <w:top w:w="55" w:type="dxa"/>
              <w:start w:w="70" w:type="dxa"/>
              <w:bottom w:w="55" w:type="dxa"/>
              <w:end w:w="70" w:type="dxa"/>
            </w:tcMar>
          </w:tcPr>
          <w:p>
            <w:pPr>
              <w:spacing w:before="0" w:after="0"/>
            </w:pPr>
            <w:r/>
            <w:r>
              <w:rPr>
                <w:rFonts w:ascii="Arial" w:hAnsi="Arial"/>
                <w:b w:val="0"/>
                <w:color w:val="23382F"/>
                <w:sz w:val="14"/>
              </w:rPr>
              <w:t>Openreach address checker + Ofcom Connected Nations + provider migration notice.</w:t>
            </w:r>
          </w:p>
        </w:tc>
      </w:tr>
      <w:tr>
        <w:tc>
          <w:tcPr>
            <w:tcW w:type="dxa" w:w="2160"/>
            <w:shd w:fill="FFFFFF"/>
            <w:vAlign w:val="center"/>
            <w:tcMar>
              <w:top w:w="55" w:type="dxa"/>
              <w:start w:w="70" w:type="dxa"/>
              <w:bottom w:w="55" w:type="dxa"/>
              <w:end w:w="70" w:type="dxa"/>
            </w:tcMar>
          </w:tcPr>
          <w:p>
            <w:pPr>
              <w:spacing w:before="0" w:after="0"/>
            </w:pPr>
            <w:r/>
            <w:r>
              <w:rPr>
                <w:rFonts w:ascii="Arial" w:hAnsi="Arial"/>
                <w:b/>
                <w:color w:val="0F5A3A"/>
                <w:sz w:val="14"/>
              </w:rPr>
              <w:t>Germany</w:t>
            </w:r>
          </w:p>
        </w:tc>
        <w:tc>
          <w:tcPr>
            <w:tcW w:type="dxa" w:w="2016"/>
            <w:shd w:fill="FFFFFF"/>
            <w:vAlign w:val="center"/>
            <w:tcMar>
              <w:top w:w="55" w:type="dxa"/>
              <w:start w:w="70" w:type="dxa"/>
              <w:bottom w:w="55" w:type="dxa"/>
              <w:end w:w="70" w:type="dxa"/>
            </w:tcMar>
          </w:tcPr>
          <w:p>
            <w:pPr>
              <w:spacing w:before="0" w:after="0"/>
            </w:pPr>
            <w:r/>
            <w:r>
              <w:rPr>
                <w:rFonts w:ascii="Arial" w:hAnsi="Arial"/>
                <w:b w:val="0"/>
                <w:color w:val="23382F"/>
                <w:sz w:val="14"/>
              </w:rPr>
              <w:t>Current but moving toward fibre</w:t>
            </w:r>
          </w:p>
        </w:tc>
        <w:tc>
          <w:tcPr>
            <w:tcW w:type="dxa" w:w="7920"/>
            <w:shd w:fill="FFFFFF"/>
            <w:vAlign w:val="center"/>
            <w:tcMar>
              <w:top w:w="55" w:type="dxa"/>
              <w:start w:w="70" w:type="dxa"/>
              <w:bottom w:w="55" w:type="dxa"/>
              <w:end w:w="70" w:type="dxa"/>
            </w:tcMar>
          </w:tcPr>
          <w:p>
            <w:pPr>
              <w:spacing w:before="0" w:after="0"/>
            </w:pPr>
            <w:r/>
            <w:r>
              <w:rPr>
                <w:rFonts w:ascii="Arial" w:hAnsi="Arial"/>
                <w:b w:val="0"/>
                <w:color w:val="23382F"/>
                <w:sz w:val="14"/>
              </w:rPr>
              <w:t>VDSL over the existing copper network still meets a substantial share of demand alongside HFC and FTTH/FTTB. Bundesnetzagentur describes copper-to-fibre migration as a controlled, region-by-region process; it is not yet a single immediate nationwide shutdown.</w:t>
            </w:r>
          </w:p>
        </w:tc>
        <w:tc>
          <w:tcPr>
            <w:tcW w:type="dxa" w:w="3456"/>
            <w:shd w:fill="FFFFFF"/>
            <w:vAlign w:val="center"/>
            <w:tcMar>
              <w:top w:w="55" w:type="dxa"/>
              <w:start w:w="70" w:type="dxa"/>
              <w:bottom w:w="55" w:type="dxa"/>
              <w:end w:w="70" w:type="dxa"/>
            </w:tcMar>
          </w:tcPr>
          <w:p>
            <w:pPr>
              <w:spacing w:before="0" w:after="0"/>
            </w:pPr>
            <w:r/>
            <w:r>
              <w:rPr>
                <w:rFonts w:ascii="Arial" w:hAnsi="Arial"/>
                <w:b w:val="0"/>
                <w:color w:val="23382F"/>
                <w:sz w:val="14"/>
              </w:rPr>
              <w:t>Bundesnetzagentur Gigabit-Grundbuch/Breitbandatlas + provider address check.</w:t>
            </w:r>
          </w:p>
        </w:tc>
      </w:tr>
    </w:tbl>
    <w:p>
      <w:pPr>
        <w:pStyle w:val="Heading2"/>
        <w:spacing w:before="100" w:after="40"/>
      </w:pPr>
      <w:r>
        <w:t>Availability rule for ONOCRA</w:t>
      </w:r>
    </w:p>
    <w:p>
      <w:r>
        <w:rPr>
          <w:b/>
        </w:rPr>
        <w:t xml:space="preserve">Always check the exact service address. </w:t>
      </w:r>
      <w:r>
        <w:t>A country-level technology label only says the access family exists in that market. It does not prove that a particular DSL variant, speed tier or provider is available at a household. For Step 4, ONOCRA should show “verify at your address” unless location-specific evidence is available.</w:t>
      </w:r>
    </w:p>
    <w:p>
      <w:pPr>
        <w:pStyle w:val="Heading2"/>
        <w:spacing w:before="100" w:after="40"/>
      </w:pPr>
      <w:r>
        <w:t>Installation and practical checks</w:t>
      </w:r>
    </w:p>
    <w:tbl>
      <w:tblPr>
        <w:tblW w:type="auto" w:w="0"/>
        <w:jc w:val="center"/>
        <w:tblLayout w:type="fixed"/>
        <w:tblLook w:firstColumn="1" w:firstRow="1" w:lastColumn="0" w:lastRow="0" w:noHBand="0" w:noVBand="1" w:val="04A0"/>
      </w:tblPr>
      <w:tblGrid>
        <w:gridCol w:w="3456"/>
        <w:gridCol w:w="11808"/>
      </w:tblGrid>
      <w:tr>
        <w:trPr>
          <w:tblHeader w:val="true"/>
        </w:trPr>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Scenario</w:t>
            </w:r>
          </w:p>
        </w:tc>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What to check</w:t>
            </w:r>
          </w:p>
        </w:tc>
      </w:tr>
      <w:tr>
        <w:tc>
          <w:tcPr>
            <w:tcW w:type="dxa" w:w="3456"/>
            <w:shd w:fill="FFFFFF"/>
            <w:vAlign w:val="center"/>
            <w:tcMar>
              <w:top w:w="55" w:type="dxa"/>
              <w:start w:w="70" w:type="dxa"/>
              <w:bottom w:w="55" w:type="dxa"/>
              <w:end w:w="70" w:type="dxa"/>
            </w:tcMar>
          </w:tcPr>
          <w:p>
            <w:pPr>
              <w:spacing w:before="0" w:after="0"/>
            </w:pPr>
            <w:r/>
            <w:r>
              <w:rPr>
                <w:rFonts w:ascii="Arial" w:hAnsi="Arial"/>
                <w:b/>
                <w:color w:val="0F5A3A"/>
                <w:sz w:val="15"/>
              </w:rPr>
              <w:t>Existing active copper line</w:t>
            </w:r>
          </w:p>
        </w:tc>
        <w:tc>
          <w:tcPr>
            <w:tcW w:type="dxa" w:w="11808"/>
            <w:shd w:fill="FFFFFF"/>
            <w:vAlign w:val="center"/>
            <w:tcMar>
              <w:top w:w="55" w:type="dxa"/>
              <w:start w:w="70" w:type="dxa"/>
              <w:bottom w:w="55" w:type="dxa"/>
              <w:end w:w="70" w:type="dxa"/>
            </w:tcMar>
          </w:tcPr>
          <w:p>
            <w:pPr>
              <w:spacing w:before="0" w:after="0"/>
            </w:pPr>
            <w:r/>
            <w:r>
              <w:rPr>
                <w:rFonts w:ascii="Arial" w:hAnsi="Arial"/>
                <w:b w:val="0"/>
                <w:color w:val="23382F"/>
                <w:sz w:val="15"/>
              </w:rPr>
              <w:t>Often the simplest case; activation may be remote or require only a modem/router, depending on the provider and market.</w:t>
            </w:r>
          </w:p>
        </w:tc>
      </w:tr>
      <w:tr>
        <w:tc>
          <w:tcPr>
            <w:tcW w:type="dxa" w:w="3456"/>
            <w:shd w:fill="F7F9F7"/>
            <w:vAlign w:val="center"/>
            <w:tcMar>
              <w:top w:w="55" w:type="dxa"/>
              <w:start w:w="70" w:type="dxa"/>
              <w:bottom w:w="55" w:type="dxa"/>
              <w:end w:w="70" w:type="dxa"/>
            </w:tcMar>
          </w:tcPr>
          <w:p>
            <w:pPr>
              <w:spacing w:before="0" w:after="0"/>
            </w:pPr>
            <w:r/>
            <w:r>
              <w:rPr>
                <w:rFonts w:ascii="Arial" w:hAnsi="Arial"/>
                <w:b/>
                <w:color w:val="0F5A3A"/>
                <w:sz w:val="15"/>
              </w:rPr>
              <w:t>New or inactive line</w:t>
            </w:r>
          </w:p>
        </w:tc>
        <w:tc>
          <w:tcPr>
            <w:tcW w:type="dxa" w:w="11808"/>
            <w:shd w:fill="F7F9F7"/>
            <w:vAlign w:val="center"/>
            <w:tcMar>
              <w:top w:w="55" w:type="dxa"/>
              <w:start w:w="70" w:type="dxa"/>
              <w:bottom w:w="55" w:type="dxa"/>
              <w:end w:w="70" w:type="dxa"/>
            </w:tcMar>
          </w:tcPr>
          <w:p>
            <w:pPr>
              <w:spacing w:before="0" w:after="0"/>
            </w:pPr>
            <w:r/>
            <w:r>
              <w:rPr>
                <w:rFonts w:ascii="Arial" w:hAnsi="Arial"/>
                <w:b w:val="0"/>
                <w:color w:val="23382F"/>
                <w:sz w:val="15"/>
              </w:rPr>
              <w:t>May require engineer work, line activation or replacement. Do not assume legacy copper can still be newly ordered in migration/stop-sell areas.</w:t>
            </w:r>
          </w:p>
        </w:tc>
      </w:tr>
      <w:tr>
        <w:tc>
          <w:tcPr>
            <w:tcW w:type="dxa" w:w="3456"/>
            <w:shd w:fill="FFFFFF"/>
            <w:vAlign w:val="center"/>
            <w:tcMar>
              <w:top w:w="55" w:type="dxa"/>
              <w:start w:w="70" w:type="dxa"/>
              <w:bottom w:w="55" w:type="dxa"/>
              <w:end w:w="70" w:type="dxa"/>
            </w:tcMar>
          </w:tcPr>
          <w:p>
            <w:pPr>
              <w:spacing w:before="0" w:after="0"/>
            </w:pPr>
            <w:r/>
            <w:r>
              <w:rPr>
                <w:rFonts w:ascii="Arial" w:hAnsi="Arial"/>
                <w:b/>
                <w:color w:val="0F5A3A"/>
                <w:sz w:val="15"/>
              </w:rPr>
              <w:t>Renters / apartments</w:t>
            </w:r>
          </w:p>
        </w:tc>
        <w:tc>
          <w:tcPr>
            <w:tcW w:type="dxa" w:w="11808"/>
            <w:shd w:fill="FFFFFF"/>
            <w:vAlign w:val="center"/>
            <w:tcMar>
              <w:top w:w="55" w:type="dxa"/>
              <w:start w:w="70" w:type="dxa"/>
              <w:bottom w:w="55" w:type="dxa"/>
              <w:end w:w="70" w:type="dxa"/>
            </w:tcMar>
          </w:tcPr>
          <w:p>
            <w:pPr>
              <w:spacing w:before="0" w:after="0"/>
            </w:pPr>
            <w:r/>
            <w:r>
              <w:rPr>
                <w:rFonts w:ascii="Arial" w:hAnsi="Arial"/>
                <w:b w:val="0"/>
                <w:color w:val="23382F"/>
                <w:sz w:val="15"/>
              </w:rPr>
              <w:t>Existing copper sockets may already be present, but building access or internal rewiring can still require permission.</w:t>
            </w:r>
          </w:p>
        </w:tc>
      </w:tr>
      <w:tr>
        <w:tc>
          <w:tcPr>
            <w:tcW w:type="dxa" w:w="3456"/>
            <w:shd w:fill="F7F9F7"/>
            <w:vAlign w:val="center"/>
            <w:tcMar>
              <w:top w:w="55" w:type="dxa"/>
              <w:start w:w="70" w:type="dxa"/>
              <w:bottom w:w="55" w:type="dxa"/>
              <w:end w:w="70" w:type="dxa"/>
            </w:tcMar>
          </w:tcPr>
          <w:p>
            <w:pPr>
              <w:spacing w:before="0" w:after="0"/>
            </w:pPr>
            <w:r/>
            <w:r>
              <w:rPr>
                <w:rFonts w:ascii="Arial" w:hAnsi="Arial"/>
                <w:b/>
                <w:color w:val="0F5A3A"/>
                <w:sz w:val="15"/>
              </w:rPr>
              <w:t>Voice service</w:t>
            </w:r>
          </w:p>
        </w:tc>
        <w:tc>
          <w:tcPr>
            <w:tcW w:type="dxa" w:w="11808"/>
            <w:shd w:fill="F7F9F7"/>
            <w:vAlign w:val="center"/>
            <w:tcMar>
              <w:top w:w="55" w:type="dxa"/>
              <w:start w:w="70" w:type="dxa"/>
              <w:bottom w:w="55" w:type="dxa"/>
              <w:end w:w="70" w:type="dxa"/>
            </w:tcMar>
          </w:tcPr>
          <w:p>
            <w:pPr>
              <w:spacing w:before="0" w:after="0"/>
            </w:pPr>
            <w:r/>
            <w:r>
              <w:rPr>
                <w:rFonts w:ascii="Arial" w:hAnsi="Arial"/>
                <w:b w:val="0"/>
                <w:color w:val="23382F"/>
                <w:sz w:val="15"/>
              </w:rPr>
              <w:t>Traditional analogue phone service and broadband migration are related but not identical. In the UK, PSTN retirement does not mean every FTTC last-mile copper pair disappears on that date.</w:t>
            </w:r>
          </w:p>
        </w:tc>
      </w:tr>
      <w:tr>
        <w:tc>
          <w:tcPr>
            <w:tcW w:type="dxa" w:w="3456"/>
            <w:shd w:fill="FFFFFF"/>
            <w:vAlign w:val="center"/>
            <w:tcMar>
              <w:top w:w="55" w:type="dxa"/>
              <w:start w:w="70" w:type="dxa"/>
              <w:bottom w:w="55" w:type="dxa"/>
              <w:end w:w="70" w:type="dxa"/>
            </w:tcMar>
          </w:tcPr>
          <w:p>
            <w:pPr>
              <w:spacing w:before="0" w:after="0"/>
            </w:pPr>
            <w:r/>
            <w:r>
              <w:rPr>
                <w:rFonts w:ascii="Arial" w:hAnsi="Arial"/>
                <w:b/>
                <w:color w:val="0F5A3A"/>
                <w:sz w:val="15"/>
              </w:rPr>
              <w:t>Fault support</w:t>
            </w:r>
          </w:p>
        </w:tc>
        <w:tc>
          <w:tcPr>
            <w:tcW w:type="dxa" w:w="11808"/>
            <w:shd w:fill="FFFFFF"/>
            <w:vAlign w:val="center"/>
            <w:tcMar>
              <w:top w:w="55" w:type="dxa"/>
              <w:start w:w="70" w:type="dxa"/>
              <w:bottom w:w="55" w:type="dxa"/>
              <w:end w:w="70" w:type="dxa"/>
            </w:tcMar>
          </w:tcPr>
          <w:p>
            <w:pPr>
              <w:spacing w:before="0" w:after="0"/>
            </w:pPr>
            <w:r/>
            <w:r>
              <w:rPr>
                <w:rFonts w:ascii="Arial" w:hAnsi="Arial"/>
                <w:b w:val="0"/>
                <w:color w:val="23382F"/>
                <w:sz w:val="15"/>
              </w:rPr>
              <w:t>Ask who owns the access line, who tests copper faults, and what repair targets or compensation rules apply to the specific plan.</w:t>
            </w:r>
          </w:p>
        </w:tc>
      </w:tr>
    </w:tbl>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4</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r>
              <w:rPr>
                <w:rFonts w:ascii="Georgia" w:hAnsi="Georgia"/>
                <w:b/>
                <w:color w:val="FFFFFF"/>
                <w:sz w:val="28"/>
              </w:rPr>
              <w:t>ONOCRA</w:t>
            </w:r>
          </w:p>
          <w:p>
            <w:pPr>
              <w:spacing w:after="0"/>
            </w:pPr>
            <w:r>
              <w:rPr>
                <w:rFonts w:ascii="Arial" w:hAnsi="Arial"/>
                <w:color w:val="DCE9E1"/>
                <w:sz w:val="16"/>
              </w:rPr>
              <w:t>Home Internet &amp; Wi-Fi · Technology guide</w:t>
            </w:r>
          </w:p>
        </w:tc>
      </w:tr>
    </w:tbl>
    <w:p>
      <w:pPr>
        <w:spacing w:after="60"/>
        <w:pBdr>
          <w:bottom w:val="single" w:sz="18" w:color="D99533"/>
        </w:pBdr>
      </w:pPr>
    </w:p>
    <w:p>
      <w:pPr>
        <w:pStyle w:val="Heading1"/>
        <w:spacing w:after="60"/>
      </w:pPr>
      <w:r>
        <w:t>4 · Cost, contract, lifecycle and upgrade decisions</w:t>
      </w:r>
    </w:p>
    <w:tbl>
      <w:tblPr>
        <w:tblW w:type="auto" w:w="0"/>
        <w:jc w:val="center"/>
        <w:tblLayout w:type="fixed"/>
        <w:tblLook w:firstColumn="1" w:firstRow="1" w:lastColumn="0" w:lastRow="0" w:noHBand="0" w:noVBand="1" w:val="04A0"/>
      </w:tblPr>
      <w:tblGrid>
        <w:gridCol w:w="3600"/>
        <w:gridCol w:w="11664"/>
      </w:tblGrid>
      <w:tr>
        <w:trPr>
          <w:tblHeader w:val="true"/>
        </w:trPr>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Commercial / lifecycle factor</w:t>
            </w:r>
          </w:p>
        </w:tc>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ONOCRA guidance</w:t>
            </w:r>
          </w:p>
        </w:tc>
      </w:tr>
      <w:tr>
        <w:tc>
          <w:tcPr>
            <w:tcW w:type="dxa" w:w="3600"/>
            <w:shd w:fill="FFFFFF"/>
            <w:vAlign w:val="center"/>
            <w:tcMar>
              <w:top w:w="55" w:type="dxa"/>
              <w:start w:w="70" w:type="dxa"/>
              <w:bottom w:w="55" w:type="dxa"/>
              <w:end w:w="70" w:type="dxa"/>
            </w:tcMar>
          </w:tcPr>
          <w:p>
            <w:pPr>
              <w:spacing w:before="0" w:after="0"/>
            </w:pPr>
            <w:r/>
            <w:r>
              <w:rPr>
                <w:rFonts w:ascii="Arial" w:hAnsi="Arial"/>
                <w:b/>
                <w:color w:val="0F5A3A"/>
                <w:sz w:val="15"/>
              </w:rPr>
              <w:t>Monthly price</w:t>
            </w:r>
          </w:p>
        </w:tc>
        <w:tc>
          <w:tcPr>
            <w:tcW w:type="dxa" w:w="11664"/>
            <w:shd w:fill="FFFFFF"/>
            <w:vAlign w:val="center"/>
            <w:tcMar>
              <w:top w:w="55" w:type="dxa"/>
              <w:start w:w="70" w:type="dxa"/>
              <w:bottom w:w="55" w:type="dxa"/>
              <w:end w:w="70" w:type="dxa"/>
            </w:tcMar>
          </w:tcPr>
          <w:p>
            <w:pPr>
              <w:spacing w:before="0" w:after="0"/>
            </w:pPr>
            <w:r/>
            <w:r>
              <w:rPr>
                <w:rFonts w:ascii="Arial" w:hAnsi="Arial"/>
                <w:b w:val="0"/>
                <w:color w:val="23382F"/>
                <w:sz w:val="15"/>
              </w:rPr>
              <w:t>Compare the regular price after introductory discounts. A legacy technology is not automatically the cheapest once promotions, line rental or bundles are included.</w:t>
            </w:r>
          </w:p>
        </w:tc>
      </w:tr>
      <w:tr>
        <w:tc>
          <w:tcPr>
            <w:tcW w:type="dxa" w:w="3600"/>
            <w:shd w:fill="F7F9F7"/>
            <w:vAlign w:val="center"/>
            <w:tcMar>
              <w:top w:w="55" w:type="dxa"/>
              <w:start w:w="70" w:type="dxa"/>
              <w:bottom w:w="55" w:type="dxa"/>
              <w:end w:w="70" w:type="dxa"/>
            </w:tcMar>
          </w:tcPr>
          <w:p>
            <w:pPr>
              <w:spacing w:before="0" w:after="0"/>
            </w:pPr>
            <w:r/>
            <w:r>
              <w:rPr>
                <w:rFonts w:ascii="Arial" w:hAnsi="Arial"/>
                <w:b/>
                <w:color w:val="0F5A3A"/>
                <w:sz w:val="15"/>
              </w:rPr>
              <w:t>Setup / equipment</w:t>
            </w:r>
          </w:p>
        </w:tc>
        <w:tc>
          <w:tcPr>
            <w:tcW w:type="dxa" w:w="11664"/>
            <w:shd w:fill="F7F9F7"/>
            <w:vAlign w:val="center"/>
            <w:tcMar>
              <w:top w:w="55" w:type="dxa"/>
              <w:start w:w="70" w:type="dxa"/>
              <w:bottom w:w="55" w:type="dxa"/>
              <w:end w:w="70" w:type="dxa"/>
            </w:tcMar>
          </w:tcPr>
          <w:p>
            <w:pPr>
              <w:spacing w:before="0" w:after="0"/>
            </w:pPr>
            <w:r/>
            <w:r>
              <w:rPr>
                <w:rFonts w:ascii="Arial" w:hAnsi="Arial"/>
                <w:b w:val="0"/>
                <w:color w:val="23382F"/>
                <w:sz w:val="15"/>
              </w:rPr>
              <w:t>Check activation, engineer, modem/router rental or purchase, return fees and replacement terms.</w:t>
            </w:r>
          </w:p>
        </w:tc>
      </w:tr>
      <w:tr>
        <w:tc>
          <w:tcPr>
            <w:tcW w:type="dxa" w:w="3600"/>
            <w:shd w:fill="FFFFFF"/>
            <w:vAlign w:val="center"/>
            <w:tcMar>
              <w:top w:w="55" w:type="dxa"/>
              <w:start w:w="70" w:type="dxa"/>
              <w:bottom w:w="55" w:type="dxa"/>
              <w:end w:w="70" w:type="dxa"/>
            </w:tcMar>
          </w:tcPr>
          <w:p>
            <w:pPr>
              <w:spacing w:before="0" w:after="0"/>
            </w:pPr>
            <w:r/>
            <w:r>
              <w:rPr>
                <w:rFonts w:ascii="Arial" w:hAnsi="Arial"/>
                <w:b/>
                <w:color w:val="0F5A3A"/>
                <w:sz w:val="15"/>
              </w:rPr>
              <w:t>Contract term / exit</w:t>
            </w:r>
          </w:p>
        </w:tc>
        <w:tc>
          <w:tcPr>
            <w:tcW w:type="dxa" w:w="11664"/>
            <w:shd w:fill="FFFFFF"/>
            <w:vAlign w:val="center"/>
            <w:tcMar>
              <w:top w:w="55" w:type="dxa"/>
              <w:start w:w="70" w:type="dxa"/>
              <w:bottom w:w="55" w:type="dxa"/>
              <w:end w:w="70" w:type="dxa"/>
            </w:tcMar>
          </w:tcPr>
          <w:p>
            <w:pPr>
              <w:spacing w:before="0" w:after="0"/>
            </w:pPr>
            <w:r/>
            <w:r>
              <w:rPr>
                <w:rFonts w:ascii="Arial" w:hAnsi="Arial"/>
                <w:b w:val="0"/>
                <w:color w:val="23382F"/>
                <w:sz w:val="15"/>
              </w:rPr>
              <w:t>Migration to fibre or another access technology can occur during or after a minimum term. Read early-termination and technology-migration terms.</w:t>
            </w:r>
          </w:p>
        </w:tc>
      </w:tr>
      <w:tr>
        <w:tc>
          <w:tcPr>
            <w:tcW w:type="dxa" w:w="3600"/>
            <w:shd w:fill="F7F9F7"/>
            <w:vAlign w:val="center"/>
            <w:tcMar>
              <w:top w:w="55" w:type="dxa"/>
              <w:start w:w="70" w:type="dxa"/>
              <w:bottom w:w="55" w:type="dxa"/>
              <w:end w:w="70" w:type="dxa"/>
            </w:tcMar>
          </w:tcPr>
          <w:p>
            <w:pPr>
              <w:spacing w:before="0" w:after="0"/>
            </w:pPr>
            <w:r/>
            <w:r>
              <w:rPr>
                <w:rFonts w:ascii="Arial" w:hAnsi="Arial"/>
                <w:b/>
                <w:color w:val="0F5A3A"/>
                <w:sz w:val="15"/>
              </w:rPr>
              <w:t>Data policy</w:t>
            </w:r>
          </w:p>
        </w:tc>
        <w:tc>
          <w:tcPr>
            <w:tcW w:type="dxa" w:w="11664"/>
            <w:shd w:fill="F7F9F7"/>
            <w:vAlign w:val="center"/>
            <w:tcMar>
              <w:top w:w="55" w:type="dxa"/>
              <w:start w:w="70" w:type="dxa"/>
              <w:bottom w:w="55" w:type="dxa"/>
              <w:end w:w="70" w:type="dxa"/>
            </w:tcMar>
          </w:tcPr>
          <w:p>
            <w:pPr>
              <w:spacing w:before="0" w:after="0"/>
            </w:pPr>
            <w:r/>
            <w:r>
              <w:rPr>
                <w:rFonts w:ascii="Arial" w:hAnsi="Arial"/>
                <w:b w:val="0"/>
                <w:color w:val="23382F"/>
                <w:sz w:val="15"/>
              </w:rPr>
              <w:t>Many fixed DSL plans are unlimited, but never assume it. Check caps, fair-use rules and traffic-management terms.</w:t>
            </w:r>
          </w:p>
        </w:tc>
      </w:tr>
      <w:tr>
        <w:tc>
          <w:tcPr>
            <w:tcW w:type="dxa" w:w="3600"/>
            <w:shd w:fill="FFFFFF"/>
            <w:vAlign w:val="center"/>
            <w:tcMar>
              <w:top w:w="55" w:type="dxa"/>
              <w:start w:w="70" w:type="dxa"/>
              <w:bottom w:w="55" w:type="dxa"/>
              <w:end w:w="70" w:type="dxa"/>
            </w:tcMar>
          </w:tcPr>
          <w:p>
            <w:pPr>
              <w:spacing w:before="0" w:after="0"/>
            </w:pPr>
            <w:r/>
            <w:r>
              <w:rPr>
                <w:rFonts w:ascii="Arial" w:hAnsi="Arial"/>
                <w:b/>
                <w:color w:val="0F5A3A"/>
                <w:sz w:val="15"/>
              </w:rPr>
              <w:t>Upgrade path</w:t>
            </w:r>
          </w:p>
        </w:tc>
        <w:tc>
          <w:tcPr>
            <w:tcW w:type="dxa" w:w="11664"/>
            <w:shd w:fill="FFFFFF"/>
            <w:vAlign w:val="center"/>
            <w:tcMar>
              <w:top w:w="55" w:type="dxa"/>
              <w:start w:w="70" w:type="dxa"/>
              <w:bottom w:w="55" w:type="dxa"/>
              <w:end w:w="70" w:type="dxa"/>
            </w:tcMar>
          </w:tcPr>
          <w:p>
            <w:pPr>
              <w:spacing w:before="0" w:after="0"/>
            </w:pPr>
            <w:r/>
            <w:r>
              <w:rPr>
                <w:rFonts w:ascii="Arial" w:hAnsi="Arial"/>
                <w:b w:val="0"/>
                <w:color w:val="23382F"/>
                <w:sz w:val="15"/>
              </w:rPr>
              <w:t>The copper pair itself limits how far DSL can evolve. Major capacity gains usually come from shortening/removing the copper segment—FTTC/vectoring/G.fast historically—or replacing it with FTTP.</w:t>
            </w:r>
          </w:p>
        </w:tc>
      </w:tr>
      <w:tr>
        <w:tc>
          <w:tcPr>
            <w:tcW w:type="dxa" w:w="3600"/>
            <w:shd w:fill="F7F9F7"/>
            <w:vAlign w:val="center"/>
            <w:tcMar>
              <w:top w:w="55" w:type="dxa"/>
              <w:start w:w="70" w:type="dxa"/>
              <w:bottom w:w="55" w:type="dxa"/>
              <w:end w:w="70" w:type="dxa"/>
            </w:tcMar>
          </w:tcPr>
          <w:p>
            <w:pPr>
              <w:spacing w:before="0" w:after="0"/>
            </w:pPr>
            <w:r/>
            <w:r>
              <w:rPr>
                <w:rFonts w:ascii="Arial" w:hAnsi="Arial"/>
                <w:b/>
                <w:color w:val="0F5A3A"/>
                <w:sz w:val="15"/>
              </w:rPr>
              <w:t>Retirement / migration risk</w:t>
            </w:r>
          </w:p>
        </w:tc>
        <w:tc>
          <w:tcPr>
            <w:tcW w:type="dxa" w:w="11664"/>
            <w:shd w:fill="F7F9F7"/>
            <w:vAlign w:val="center"/>
            <w:tcMar>
              <w:top w:w="55" w:type="dxa"/>
              <w:start w:w="70" w:type="dxa"/>
              <w:bottom w:w="55" w:type="dxa"/>
              <w:end w:w="70" w:type="dxa"/>
            </w:tcMar>
          </w:tcPr>
          <w:p>
            <w:pPr>
              <w:spacing w:before="0" w:after="0"/>
            </w:pPr>
            <w:r/>
            <w:r>
              <w:rPr>
                <w:rFonts w:ascii="Arial" w:hAnsi="Arial"/>
                <w:b w:val="0"/>
                <w:color w:val="23382F"/>
                <w:sz w:val="15"/>
              </w:rPr>
              <w:t>Where a network is moving away from copper, a very long new contract may have less strategic value unless migration terms are clear. The exact risk is market- and provider-specific.</w:t>
            </w:r>
          </w:p>
        </w:tc>
      </w:tr>
    </w:tbl>
    <w:p>
      <w:pPr>
        <w:pStyle w:val="Heading2"/>
        <w:spacing w:before="100" w:after="40"/>
      </w:pPr>
      <w:r>
        <w:t>Questions to ask before you sign</w:t>
      </w:r>
    </w:p>
    <w:p>
      <w:pPr>
        <w:spacing w:after="24"/>
        <w:ind w:left="173"/>
      </w:pPr>
      <w:r>
        <w:rPr>
          <w:sz w:val="16"/>
        </w:rPr>
        <w:t>1. Is this ADSL, ADSL2+, VDSL/VDSL2, or FTTC with copper on the final segment?</w:t>
      </w:r>
    </w:p>
    <w:p>
      <w:pPr>
        <w:spacing w:after="24"/>
        <w:ind w:left="173"/>
      </w:pPr>
      <w:r>
        <w:rPr>
          <w:sz w:val="16"/>
        </w:rPr>
        <w:t>2. What address-specific download and upload range does the provider estimate for this line?</w:t>
      </w:r>
    </w:p>
    <w:p>
      <w:pPr>
        <w:spacing w:after="24"/>
        <w:ind w:left="173"/>
      </w:pPr>
      <w:r>
        <w:rPr>
          <w:sz w:val="16"/>
        </w:rPr>
        <w:t>3. How far is the relevant copper segment, and can the provider test line quality or faults?</w:t>
      </w:r>
    </w:p>
    <w:p>
      <w:pPr>
        <w:spacing w:after="24"/>
        <w:ind w:left="173"/>
      </w:pPr>
      <w:r>
        <w:rPr>
          <w:sz w:val="16"/>
        </w:rPr>
        <w:t>4. Which figures are advertised, typical, minimum, guaranteed or only estimated?</w:t>
      </w:r>
    </w:p>
    <w:p>
      <w:pPr>
        <w:spacing w:after="24"/>
        <w:ind w:left="173"/>
      </w:pPr>
      <w:r>
        <w:rPr>
          <w:sz w:val="16"/>
        </w:rPr>
        <w:t>5. What is the regular monthly price after promotions, plus setup/equipment/exit costs?</w:t>
      </w:r>
    </w:p>
    <w:p>
      <w:pPr>
        <w:spacing w:after="24"/>
        <w:ind w:left="173"/>
      </w:pPr>
      <w:r>
        <w:rPr>
          <w:sz w:val="16"/>
        </w:rPr>
        <w:t>6. Is the area scheduled for full-fibre migration, stop-sell, copper retirement or a technology change?</w:t>
      </w:r>
    </w:p>
    <w:p>
      <w:pPr>
        <w:spacing w:after="24"/>
        <w:ind w:left="173"/>
      </w:pPr>
      <w:r>
        <w:rPr>
          <w:sz w:val="16"/>
        </w:rPr>
        <w:t>7. Can I use my own router, and what modem/bridge-mode or voice-service requirements apply?</w:t>
      </w:r>
    </w:p>
    <w:p>
      <w:pPr>
        <w:spacing w:after="24"/>
        <w:ind w:left="173"/>
      </w:pPr>
      <w:r>
        <w:rPr>
          <w:sz w:val="16"/>
        </w:rPr>
        <w:t>8. What happens to the contract, equipment and phone service when the provider migrates the line?</w:t>
      </w:r>
    </w:p>
    <w:p>
      <w:pPr>
        <w:pStyle w:val="Heading2"/>
        <w:spacing w:before="80" w:after="40"/>
      </w:pPr>
      <w:r>
        <w:t>Step 4 extraction — canonical fields</w:t>
      </w:r>
    </w:p>
    <w:tbl>
      <w:tblPr>
        <w:tblW w:type="auto" w:w="0"/>
        <w:jc w:val="center"/>
        <w:tblLayout w:type="fixed"/>
        <w:tblLook w:firstColumn="1" w:firstRow="1" w:lastColumn="0" w:lastRow="0" w:noHBand="0" w:noVBand="1" w:val="04A0"/>
      </w:tblPr>
      <w:tblGrid>
        <w:gridCol w:w="3024"/>
        <w:gridCol w:w="12240"/>
      </w:tblGrid>
      <w:tr>
        <w:trPr>
          <w:tblHeader w:val="true"/>
        </w:trPr>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Field group</w:t>
            </w:r>
          </w:p>
        </w:tc>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DSL / Copper Broadband values</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5"/>
              </w:rPr>
              <w:t>architecture</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5"/>
              </w:rPr>
              <w:t>copper pair; exchange-fed DSL or FTTC/VDSL final segment</w:t>
            </w:r>
          </w:p>
        </w:tc>
      </w:tr>
      <w:tr>
        <w:tc>
          <w:tcPr>
            <w:tcW w:type="dxa" w:w="3024"/>
            <w:shd w:fill="F7F9F7"/>
            <w:vAlign w:val="center"/>
            <w:tcMar>
              <w:top w:w="55" w:type="dxa"/>
              <w:start w:w="70" w:type="dxa"/>
              <w:bottom w:w="55" w:type="dxa"/>
              <w:end w:w="70" w:type="dxa"/>
            </w:tcMar>
          </w:tcPr>
          <w:p>
            <w:pPr>
              <w:spacing w:before="0" w:after="0"/>
            </w:pPr>
            <w:r/>
            <w:r>
              <w:rPr>
                <w:rFonts w:ascii="Arial" w:hAnsi="Arial"/>
                <w:b/>
                <w:color w:val="0F5A3A"/>
                <w:sz w:val="15"/>
              </w:rPr>
              <w:t>performance</w:t>
            </w:r>
          </w:p>
        </w:tc>
        <w:tc>
          <w:tcPr>
            <w:tcW w:type="dxa" w:w="12240"/>
            <w:shd w:fill="F7F9F7"/>
            <w:vAlign w:val="center"/>
            <w:tcMar>
              <w:top w:w="55" w:type="dxa"/>
              <w:start w:w="70" w:type="dxa"/>
              <w:bottom w:w="55" w:type="dxa"/>
              <w:end w:w="70" w:type="dxa"/>
            </w:tcMar>
          </w:tcPr>
          <w:p>
            <w:pPr>
              <w:spacing w:before="0" w:after="0"/>
            </w:pPr>
            <w:r/>
            <w:r>
              <w:rPr>
                <w:rFonts w:ascii="Arial" w:hAnsi="Arial"/>
                <w:b w:val="0"/>
                <w:color w:val="23382F"/>
                <w:sz w:val="15"/>
              </w:rPr>
              <w:t>download/upload profile; latency/jitter; distance sensitivity; peak-time consistency</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5"/>
              </w:rPr>
              <w:t>installation</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5"/>
              </w:rPr>
              <w:t>DSL modem/gateway; socket/wiring; engineer need; landlord/building constraints</w:t>
            </w:r>
          </w:p>
        </w:tc>
      </w:tr>
      <w:tr>
        <w:tc>
          <w:tcPr>
            <w:tcW w:type="dxa" w:w="3024"/>
            <w:shd w:fill="F7F9F7"/>
            <w:vAlign w:val="center"/>
            <w:tcMar>
              <w:top w:w="55" w:type="dxa"/>
              <w:start w:w="70" w:type="dxa"/>
              <w:bottom w:w="55" w:type="dxa"/>
              <w:end w:w="70" w:type="dxa"/>
            </w:tcMar>
          </w:tcPr>
          <w:p>
            <w:pPr>
              <w:spacing w:before="0" w:after="0"/>
            </w:pPr>
            <w:r/>
            <w:r>
              <w:rPr>
                <w:rFonts w:ascii="Arial" w:hAnsi="Arial"/>
                <w:b/>
                <w:color w:val="0F5A3A"/>
                <w:sz w:val="15"/>
              </w:rPr>
              <w:t>commercial</w:t>
            </w:r>
          </w:p>
        </w:tc>
        <w:tc>
          <w:tcPr>
            <w:tcW w:type="dxa" w:w="12240"/>
            <w:shd w:fill="F7F9F7"/>
            <w:vAlign w:val="center"/>
            <w:tcMar>
              <w:top w:w="55" w:type="dxa"/>
              <w:start w:w="70" w:type="dxa"/>
              <w:bottom w:w="55" w:type="dxa"/>
              <w:end w:w="70" w:type="dxa"/>
            </w:tcMar>
          </w:tcPr>
          <w:p>
            <w:pPr>
              <w:spacing w:before="0" w:after="0"/>
            </w:pPr>
            <w:r/>
            <w:r>
              <w:rPr>
                <w:rFonts w:ascii="Arial" w:hAnsi="Arial"/>
                <w:b w:val="0"/>
                <w:color w:val="23382F"/>
                <w:sz w:val="15"/>
              </w:rPr>
              <w:t>price snapshot; equipment/activation fees; contract; migration/exit terms</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5"/>
              </w:rPr>
              <w:t>networking</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5"/>
              </w:rPr>
              <w:t>bridge mode; router choice; public IP/IPv6/port forwarding where relevant</w:t>
            </w:r>
          </w:p>
        </w:tc>
      </w:tr>
      <w:tr>
        <w:tc>
          <w:tcPr>
            <w:tcW w:type="dxa" w:w="3024"/>
            <w:shd w:fill="F7F9F7"/>
            <w:vAlign w:val="center"/>
            <w:tcMar>
              <w:top w:w="55" w:type="dxa"/>
              <w:start w:w="70" w:type="dxa"/>
              <w:bottom w:w="55" w:type="dxa"/>
              <w:end w:w="70" w:type="dxa"/>
            </w:tcMar>
          </w:tcPr>
          <w:p>
            <w:pPr>
              <w:spacing w:before="0" w:after="0"/>
            </w:pPr>
            <w:r/>
            <w:r>
              <w:rPr>
                <w:rFonts w:ascii="Arial" w:hAnsi="Arial"/>
                <w:b/>
                <w:color w:val="0F5A3A"/>
                <w:sz w:val="15"/>
              </w:rPr>
              <w:t>lifecycle</w:t>
            </w:r>
          </w:p>
        </w:tc>
        <w:tc>
          <w:tcPr>
            <w:tcW w:type="dxa" w:w="12240"/>
            <w:shd w:fill="F7F9F7"/>
            <w:vAlign w:val="center"/>
            <w:tcMar>
              <w:top w:w="55" w:type="dxa"/>
              <w:start w:w="70" w:type="dxa"/>
              <w:bottom w:w="55" w:type="dxa"/>
              <w:end w:w="70" w:type="dxa"/>
            </w:tcMar>
          </w:tcPr>
          <w:p>
            <w:pPr>
              <w:spacing w:before="0" w:after="0"/>
            </w:pPr>
            <w:r/>
            <w:r>
              <w:rPr>
                <w:rFonts w:ascii="Arial" w:hAnsi="Arial"/>
                <w:b w:val="0"/>
                <w:color w:val="23382F"/>
                <w:sz w:val="15"/>
              </w:rPr>
              <w:t>migration status; copper retirement/stop-sell risk; FTTP upgrade path</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5"/>
              </w:rPr>
              <w:t>evidence</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5"/>
              </w:rPr>
              <w:t>source URL/date; address-specific availability; provider estimate; confidence; what to verify</w:t>
            </w:r>
          </w:p>
        </w:tc>
      </w:tr>
    </w:tbl>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5</w:t>
      </w:r>
    </w:p>
    <w:p>
      <w:r>
        <w:br w:type="page"/>
      </w:r>
    </w:p>
    <w:tbl>
      <w:tblPr>
        <w:tblW w:type="auto" w:w="0"/>
        <w:jc w:val="center"/>
        <w:tblLayout w:type="fixed"/>
        <w:tblLook w:firstColumn="1" w:firstRow="1" w:lastColumn="0" w:lastRow="0" w:noHBand="0" w:noVBand="1" w:val="04A0"/>
      </w:tblPr>
      <w:tblGrid>
        <w:gridCol w:w="1440"/>
        <w:gridCol w:w="14256"/>
      </w:tblGrid>
      <w:tr>
        <w:tc>
          <w:tcPr>
            <w:tcW w:type="dxa" w:w="7812"/>
            <w:shd w:fill="0F5A3A"/>
            <w:tcMar>
              <w:top w:w="55" w:type="dxa"/>
              <w:start w:w="70" w:type="dxa"/>
              <w:bottom w:w="55" w:type="dxa"/>
              <w:end w:w="70" w:type="dxa"/>
            </w:tcMar>
            <w:vAlign w:val="center"/>
          </w:tcPr>
          <w:p>
            <w:pPr>
              <w:spacing w:before="0" w:after="0"/>
              <w:jc w:val="center"/>
            </w:pPr>
            <w:r/>
            <w:r>
              <w:rPr>
                <w:rFonts w:ascii="Arial" w:hAnsi="Arial"/>
                <w:b/>
                <w:color w:val="F6F1E4"/>
                <w:sz w:val="54"/>
              </w:rPr>
              <w:t>O.</w:t>
            </w:r>
          </w:p>
        </w:tc>
        <w:tc>
          <w:tcPr>
            <w:tcW w:type="dxa" w:w="7812"/>
            <w:shd w:fill="0F5A3A"/>
            <w:tcMar>
              <w:top w:w="80" w:type="dxa"/>
              <w:start w:w="90" w:type="dxa"/>
              <w:bottom w:w="80" w:type="dxa"/>
              <w:end w:w="90" w:type="dxa"/>
            </w:tcMar>
          </w:tcPr>
          <w:p>
            <w:r/>
            <w:r>
              <w:rPr>
                <w:rFonts w:ascii="Georgia" w:hAnsi="Georgia"/>
                <w:b/>
                <w:color w:val="FFFFFF"/>
                <w:sz w:val="28"/>
              </w:rPr>
              <w:t>ONOCRA</w:t>
            </w:r>
          </w:p>
          <w:p>
            <w:pPr>
              <w:spacing w:after="0"/>
            </w:pPr>
            <w:r>
              <w:rPr>
                <w:rFonts w:ascii="Arial" w:hAnsi="Arial"/>
                <w:color w:val="DCE9E1"/>
                <w:sz w:val="16"/>
              </w:rPr>
              <w:t>Home Internet &amp; Wi-Fi · Technology guide</w:t>
            </w:r>
          </w:p>
        </w:tc>
      </w:tr>
    </w:tbl>
    <w:p>
      <w:pPr>
        <w:spacing w:after="60"/>
        <w:pBdr>
          <w:bottom w:val="single" w:sz="18" w:color="D99533"/>
        </w:pBdr>
      </w:pPr>
    </w:p>
    <w:p>
      <w:pPr>
        <w:pStyle w:val="Heading1"/>
        <w:spacing w:after="60"/>
      </w:pPr>
      <w:r>
        <w:t>5 · Glossary and verification sources</w:t>
      </w:r>
    </w:p>
    <w:tbl>
      <w:tblPr>
        <w:tblW w:type="auto" w:w="0"/>
        <w:jc w:val="center"/>
        <w:tblLayout w:type="fixed"/>
        <w:tblLook w:firstColumn="1" w:firstRow="1" w:lastColumn="0" w:lastRow="0" w:noHBand="0" w:noVBand="1" w:val="04A0"/>
      </w:tblPr>
      <w:tblGrid>
        <w:gridCol w:w="3024"/>
        <w:gridCol w:w="12240"/>
      </w:tblGrid>
      <w:tr>
        <w:trPr>
          <w:tblHeader w:val="true"/>
        </w:trPr>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Term</w:t>
            </w:r>
          </w:p>
        </w:tc>
        <w:tc>
          <w:tcPr>
            <w:tcW w:type="dxa" w:w="7812"/>
            <w:shd w:fill="0F5A3A"/>
            <w:vAlign w:val="center"/>
            <w:tcMar>
              <w:top w:w="55" w:type="dxa"/>
              <w:start w:w="70" w:type="dxa"/>
              <w:bottom w:w="55" w:type="dxa"/>
              <w:end w:w="70" w:type="dxa"/>
            </w:tcMar>
          </w:tcPr>
          <w:p>
            <w:pPr>
              <w:spacing w:before="0" w:after="0"/>
            </w:pPr>
            <w:r/>
            <w:r>
              <w:rPr>
                <w:rFonts w:ascii="Arial" w:hAnsi="Arial"/>
                <w:b/>
                <w:color w:val="FFFFFF"/>
                <w:sz w:val="15"/>
              </w:rPr>
              <w:t>Plain meaning</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5"/>
              </w:rPr>
              <w:t>DSL</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5"/>
              </w:rPr>
              <w:t>Digital Subscriber Line: a family of broadband technologies using copper telephone pairs.</w:t>
            </w:r>
          </w:p>
        </w:tc>
      </w:tr>
      <w:tr>
        <w:tc>
          <w:tcPr>
            <w:tcW w:type="dxa" w:w="3024"/>
            <w:shd w:fill="F7F9F7"/>
            <w:vAlign w:val="center"/>
            <w:tcMar>
              <w:top w:w="55" w:type="dxa"/>
              <w:start w:w="70" w:type="dxa"/>
              <w:bottom w:w="55" w:type="dxa"/>
              <w:end w:w="70" w:type="dxa"/>
            </w:tcMar>
          </w:tcPr>
          <w:p>
            <w:pPr>
              <w:spacing w:before="0" w:after="0"/>
            </w:pPr>
            <w:r/>
            <w:r>
              <w:rPr>
                <w:rFonts w:ascii="Arial" w:hAnsi="Arial"/>
                <w:b/>
                <w:color w:val="0F5A3A"/>
                <w:sz w:val="15"/>
              </w:rPr>
              <w:t>ADSL / ADSL2+</w:t>
            </w:r>
          </w:p>
        </w:tc>
        <w:tc>
          <w:tcPr>
            <w:tcW w:type="dxa" w:w="12240"/>
            <w:shd w:fill="F7F9F7"/>
            <w:vAlign w:val="center"/>
            <w:tcMar>
              <w:top w:w="55" w:type="dxa"/>
              <w:start w:w="70" w:type="dxa"/>
              <w:bottom w:w="55" w:type="dxa"/>
              <w:end w:w="70" w:type="dxa"/>
            </w:tcMar>
          </w:tcPr>
          <w:p>
            <w:pPr>
              <w:spacing w:before="0" w:after="0"/>
            </w:pPr>
            <w:r/>
            <w:r>
              <w:rPr>
                <w:rFonts w:ascii="Arial" w:hAnsi="Arial"/>
                <w:b w:val="0"/>
                <w:color w:val="23382F"/>
                <w:sz w:val="15"/>
              </w:rPr>
              <w:t>Asymmetric DSL generations designed for higher download than upload.</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5"/>
              </w:rPr>
              <w:t>VDSL / VDSL2</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5"/>
              </w:rPr>
              <w:t>Very-high-bit-rate DSL, generally used over shorter copper runs and often paired with FTTC.</w:t>
            </w:r>
          </w:p>
        </w:tc>
      </w:tr>
      <w:tr>
        <w:tc>
          <w:tcPr>
            <w:tcW w:type="dxa" w:w="3024"/>
            <w:shd w:fill="F7F9F7"/>
            <w:vAlign w:val="center"/>
            <w:tcMar>
              <w:top w:w="55" w:type="dxa"/>
              <w:start w:w="70" w:type="dxa"/>
              <w:bottom w:w="55" w:type="dxa"/>
              <w:end w:w="70" w:type="dxa"/>
            </w:tcMar>
          </w:tcPr>
          <w:p>
            <w:pPr>
              <w:spacing w:before="0" w:after="0"/>
            </w:pPr>
            <w:r/>
            <w:r>
              <w:rPr>
                <w:rFonts w:ascii="Arial" w:hAnsi="Arial"/>
                <w:b/>
                <w:color w:val="0F5A3A"/>
                <w:sz w:val="15"/>
              </w:rPr>
              <w:t>FTTC</w:t>
            </w:r>
          </w:p>
        </w:tc>
        <w:tc>
          <w:tcPr>
            <w:tcW w:type="dxa" w:w="12240"/>
            <w:shd w:fill="F7F9F7"/>
            <w:vAlign w:val="center"/>
            <w:tcMar>
              <w:top w:w="55" w:type="dxa"/>
              <w:start w:w="70" w:type="dxa"/>
              <w:bottom w:w="55" w:type="dxa"/>
              <w:end w:w="70" w:type="dxa"/>
            </w:tcMar>
          </w:tcPr>
          <w:p>
            <w:pPr>
              <w:spacing w:before="0" w:after="0"/>
            </w:pPr>
            <w:r/>
            <w:r>
              <w:rPr>
                <w:rFonts w:ascii="Arial" w:hAnsi="Arial"/>
                <w:b w:val="0"/>
                <w:color w:val="23382F"/>
                <w:sz w:val="15"/>
              </w:rPr>
              <w:t>Fibre to the cabinet: fibre reaches a street cabinet; copper completes the final path to the premises. Not full fibre / FTTP.</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5"/>
              </w:rPr>
              <w:t>FTTP</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5"/>
              </w:rPr>
              <w:t>Fibre to the premises: optical fibre reaches the home/building access point without a copper DSL last mile.</w:t>
            </w:r>
          </w:p>
        </w:tc>
      </w:tr>
      <w:tr>
        <w:tc>
          <w:tcPr>
            <w:tcW w:type="dxa" w:w="3024"/>
            <w:shd w:fill="F7F9F7"/>
            <w:vAlign w:val="center"/>
            <w:tcMar>
              <w:top w:w="55" w:type="dxa"/>
              <w:start w:w="70" w:type="dxa"/>
              <w:bottom w:w="55" w:type="dxa"/>
              <w:end w:w="70" w:type="dxa"/>
            </w:tcMar>
          </w:tcPr>
          <w:p>
            <w:pPr>
              <w:spacing w:before="0" w:after="0"/>
            </w:pPr>
            <w:r/>
            <w:r>
              <w:rPr>
                <w:rFonts w:ascii="Arial" w:hAnsi="Arial"/>
                <w:b/>
                <w:color w:val="0F5A3A"/>
                <w:sz w:val="15"/>
              </w:rPr>
              <w:t>Sync / line rate</w:t>
            </w:r>
          </w:p>
        </w:tc>
        <w:tc>
          <w:tcPr>
            <w:tcW w:type="dxa" w:w="12240"/>
            <w:shd w:fill="F7F9F7"/>
            <w:vAlign w:val="center"/>
            <w:tcMar>
              <w:top w:w="55" w:type="dxa"/>
              <w:start w:w="70" w:type="dxa"/>
              <w:bottom w:w="55" w:type="dxa"/>
              <w:end w:w="70" w:type="dxa"/>
            </w:tcMar>
          </w:tcPr>
          <w:p>
            <w:pPr>
              <w:spacing w:before="0" w:after="0"/>
            </w:pPr>
            <w:r/>
            <w:r>
              <w:rPr>
                <w:rFonts w:ascii="Arial" w:hAnsi="Arial"/>
                <w:b w:val="0"/>
                <w:color w:val="23382F"/>
                <w:sz w:val="15"/>
              </w:rPr>
              <w:t>The rate negotiated between the DSL modem and network equipment. Real internet throughput can be lower.</w:t>
            </w:r>
          </w:p>
        </w:tc>
      </w:tr>
      <w:tr>
        <w:tc>
          <w:tcPr>
            <w:tcW w:type="dxa" w:w="3024"/>
            <w:shd w:fill="FFFFFF"/>
            <w:vAlign w:val="center"/>
            <w:tcMar>
              <w:top w:w="55" w:type="dxa"/>
              <w:start w:w="70" w:type="dxa"/>
              <w:bottom w:w="55" w:type="dxa"/>
              <w:end w:w="70" w:type="dxa"/>
            </w:tcMar>
          </w:tcPr>
          <w:p>
            <w:pPr>
              <w:spacing w:before="0" w:after="0"/>
            </w:pPr>
            <w:r/>
            <w:r>
              <w:rPr>
                <w:rFonts w:ascii="Arial" w:hAnsi="Arial"/>
                <w:b/>
                <w:color w:val="0F5A3A"/>
                <w:sz w:val="15"/>
              </w:rPr>
              <w:t>Interleaving / error correction</w:t>
            </w:r>
          </w:p>
        </w:tc>
        <w:tc>
          <w:tcPr>
            <w:tcW w:type="dxa" w:w="12240"/>
            <w:shd w:fill="FFFFFF"/>
            <w:vAlign w:val="center"/>
            <w:tcMar>
              <w:top w:w="55" w:type="dxa"/>
              <w:start w:w="70" w:type="dxa"/>
              <w:bottom w:w="55" w:type="dxa"/>
              <w:end w:w="70" w:type="dxa"/>
            </w:tcMar>
          </w:tcPr>
          <w:p>
            <w:pPr>
              <w:spacing w:before="0" w:after="0"/>
            </w:pPr>
            <w:r/>
            <w:r>
              <w:rPr>
                <w:rFonts w:ascii="Arial" w:hAnsi="Arial"/>
                <w:b w:val="0"/>
                <w:color w:val="23382F"/>
                <w:sz w:val="15"/>
              </w:rPr>
              <w:t>Techniques that improve resilience on noisy lines but can affect latency.</w:t>
            </w:r>
          </w:p>
        </w:tc>
      </w:tr>
      <w:tr>
        <w:tc>
          <w:tcPr>
            <w:tcW w:type="dxa" w:w="3024"/>
            <w:shd w:fill="F7F9F7"/>
            <w:vAlign w:val="center"/>
            <w:tcMar>
              <w:top w:w="55" w:type="dxa"/>
              <w:start w:w="70" w:type="dxa"/>
              <w:bottom w:w="55" w:type="dxa"/>
              <w:end w:w="70" w:type="dxa"/>
            </w:tcMar>
          </w:tcPr>
          <w:p>
            <w:pPr>
              <w:spacing w:before="0" w:after="0"/>
            </w:pPr>
            <w:r/>
            <w:r>
              <w:rPr>
                <w:rFonts w:ascii="Arial" w:hAnsi="Arial"/>
                <w:b/>
                <w:color w:val="0F5A3A"/>
                <w:sz w:val="15"/>
              </w:rPr>
              <w:t>PSTN</w:t>
            </w:r>
          </w:p>
        </w:tc>
        <w:tc>
          <w:tcPr>
            <w:tcW w:type="dxa" w:w="12240"/>
            <w:shd w:fill="F7F9F7"/>
            <w:vAlign w:val="center"/>
            <w:tcMar>
              <w:top w:w="55" w:type="dxa"/>
              <w:start w:w="70" w:type="dxa"/>
              <w:bottom w:w="55" w:type="dxa"/>
              <w:end w:w="70" w:type="dxa"/>
            </w:tcMar>
          </w:tcPr>
          <w:p>
            <w:pPr>
              <w:spacing w:before="0" w:after="0"/>
            </w:pPr>
            <w:r/>
            <w:r>
              <w:rPr>
                <w:rFonts w:ascii="Arial" w:hAnsi="Arial"/>
                <w:b w:val="0"/>
                <w:color w:val="23382F"/>
                <w:sz w:val="15"/>
              </w:rPr>
              <w:t>Public Switched Telephone Network. Voice-network retirement can affect copper services, but the exact broadband migration path depends on the market and network.</w:t>
            </w:r>
          </w:p>
        </w:tc>
      </w:tr>
    </w:tbl>
    <w:p>
      <w:pPr>
        <w:pStyle w:val="Heading2"/>
        <w:spacing w:before="100" w:after="40"/>
      </w:pPr>
      <w:r>
        <w:t>Regional verification sources — checked 20 October 2026</w:t>
      </w:r>
    </w:p>
    <w:tbl>
      <w:tblPr>
        <w:tblW w:type="auto" w:w="0"/>
        <w:jc w:val="center"/>
        <w:tblLayout w:type="fixed"/>
        <w:tblLook w:firstColumn="1" w:firstRow="1" w:lastColumn="0" w:lastRow="0" w:noHBand="0" w:noVBand="1" w:val="04A0"/>
      </w:tblPr>
      <w:tblGrid>
        <w:gridCol w:w="3168"/>
        <w:gridCol w:w="7056"/>
        <w:gridCol w:w="5040"/>
      </w:tblGrid>
      <w:tr>
        <w:trPr>
          <w:tblHeader w:val="true"/>
        </w:trPr>
        <w:tc>
          <w:tcPr>
            <w:tcW w:type="dxa" w:w="5208"/>
            <w:shd w:fill="0F5A3A"/>
            <w:vAlign w:val="center"/>
            <w:tcMar>
              <w:top w:w="55" w:type="dxa"/>
              <w:start w:w="70" w:type="dxa"/>
              <w:bottom w:w="55" w:type="dxa"/>
              <w:end w:w="70" w:type="dxa"/>
            </w:tcMar>
          </w:tcPr>
          <w:p>
            <w:pPr>
              <w:spacing w:before="0" w:after="0"/>
            </w:pPr>
            <w:r/>
            <w:r>
              <w:rPr>
                <w:rFonts w:ascii="Arial" w:hAnsi="Arial"/>
                <w:b/>
                <w:color w:val="FFFFFF"/>
                <w:sz w:val="15"/>
              </w:rPr>
              <w:t>Source</w:t>
            </w:r>
          </w:p>
        </w:tc>
        <w:tc>
          <w:tcPr>
            <w:tcW w:type="dxa" w:w="5208"/>
            <w:shd w:fill="0F5A3A"/>
            <w:vAlign w:val="center"/>
            <w:tcMar>
              <w:top w:w="55" w:type="dxa"/>
              <w:start w:w="70" w:type="dxa"/>
              <w:bottom w:w="55" w:type="dxa"/>
              <w:end w:w="70" w:type="dxa"/>
            </w:tcMar>
          </w:tcPr>
          <w:p>
            <w:pPr>
              <w:spacing w:before="0" w:after="0"/>
            </w:pPr>
            <w:r/>
            <w:r>
              <w:rPr>
                <w:rFonts w:ascii="Arial" w:hAnsi="Arial"/>
                <w:b/>
                <w:color w:val="FFFFFF"/>
                <w:sz w:val="15"/>
              </w:rPr>
              <w:t>What ONOCRA uses it for</w:t>
            </w:r>
          </w:p>
        </w:tc>
        <w:tc>
          <w:tcPr>
            <w:tcW w:type="dxa" w:w="5208"/>
            <w:shd w:fill="0F5A3A"/>
            <w:vAlign w:val="center"/>
            <w:tcMar>
              <w:top w:w="55" w:type="dxa"/>
              <w:start w:w="70" w:type="dxa"/>
              <w:bottom w:w="55" w:type="dxa"/>
              <w:end w:w="70" w:type="dxa"/>
            </w:tcMar>
          </w:tcPr>
          <w:p>
            <w:pPr>
              <w:spacing w:before="0" w:after="0"/>
            </w:pPr>
            <w:r/>
            <w:r>
              <w:rPr>
                <w:rFonts w:ascii="Arial" w:hAnsi="Arial"/>
                <w:b/>
                <w:color w:val="FFFFFF"/>
                <w:sz w:val="15"/>
              </w:rPr>
              <w:t>URL</w:t>
            </w:r>
          </w:p>
        </w:tc>
      </w:tr>
      <w:tr>
        <w:tc>
          <w:tcPr>
            <w:tcW w:type="dxa" w:w="3168"/>
            <w:shd w:fill="FFFFFF"/>
            <w:vAlign w:val="center"/>
            <w:tcMar>
              <w:top w:w="55" w:type="dxa"/>
              <w:start w:w="70" w:type="dxa"/>
              <w:bottom w:w="55" w:type="dxa"/>
              <w:end w:w="70" w:type="dxa"/>
            </w:tcMar>
          </w:tcPr>
          <w:p>
            <w:pPr>
              <w:spacing w:before="0" w:after="0"/>
            </w:pPr>
            <w:r/>
            <w:r>
              <w:rPr>
                <w:rFonts w:ascii="Arial" w:hAnsi="Arial"/>
                <w:b/>
                <w:color w:val="0F5A3A"/>
                <w:sz w:val="13"/>
              </w:rPr>
              <w:t>US · FCC Broadband Data Collection</w:t>
            </w:r>
          </w:p>
        </w:tc>
        <w:tc>
          <w:tcPr>
            <w:tcW w:type="dxa" w:w="7056"/>
            <w:shd w:fill="FFFFFF"/>
            <w:vAlign w:val="center"/>
            <w:tcMar>
              <w:top w:w="55" w:type="dxa"/>
              <w:start w:w="70" w:type="dxa"/>
              <w:bottom w:w="55" w:type="dxa"/>
              <w:end w:w="70" w:type="dxa"/>
            </w:tcMar>
          </w:tcPr>
          <w:p>
            <w:pPr>
              <w:spacing w:before="0" w:after="0"/>
            </w:pPr>
            <w:r/>
            <w:r>
              <w:rPr>
                <w:rFonts w:ascii="Arial" w:hAnsi="Arial"/>
                <w:b w:val="0"/>
                <w:color w:val="23382F"/>
                <w:sz w:val="13"/>
              </w:rPr>
              <w:t>Copper Wire technology code 10 includes xDSL; the National Broadband Map supports DSL filtering and location-level availability reported by providers.</w:t>
            </w:r>
          </w:p>
        </w:tc>
        <w:tc>
          <w:tcPr>
            <w:tcW w:type="dxa" w:w="5040"/>
            <w:shd w:fill="FFFFFF"/>
            <w:vAlign w:val="center"/>
            <w:tcMar>
              <w:top w:w="55" w:type="dxa"/>
              <w:start w:w="70" w:type="dxa"/>
              <w:bottom w:w="55" w:type="dxa"/>
              <w:end w:w="70" w:type="dxa"/>
            </w:tcMar>
          </w:tcPr>
          <w:p>
            <w:pPr>
              <w:spacing w:before="0" w:after="0"/>
            </w:pPr>
            <w:r/>
            <w:r>
              <w:rPr>
                <w:rFonts w:ascii="Arial" w:hAnsi="Arial"/>
                <w:b w:val="0"/>
                <w:color w:val="23382F"/>
                <w:sz w:val="13"/>
              </w:rPr>
              <w:t>https://help.bdc.fcc.gov/hc/en-us/articles/5290793888795-Fixed-Technology-Codes</w:t>
              <w:br/>
              <w:t>https://help.bdc.fcc.gov/hc/en-us/articles/10467446103579-How-to-Use-the-FCC-s-National-Broadband-Map</w:t>
            </w:r>
          </w:p>
        </w:tc>
      </w:tr>
      <w:tr>
        <w:tc>
          <w:tcPr>
            <w:tcW w:type="dxa" w:w="3168"/>
            <w:shd w:fill="F7F9F7"/>
            <w:vAlign w:val="center"/>
            <w:tcMar>
              <w:top w:w="55" w:type="dxa"/>
              <w:start w:w="70" w:type="dxa"/>
              <w:bottom w:w="55" w:type="dxa"/>
              <w:end w:w="70" w:type="dxa"/>
            </w:tcMar>
          </w:tcPr>
          <w:p>
            <w:pPr>
              <w:spacing w:before="0" w:after="0"/>
            </w:pPr>
            <w:r/>
            <w:r>
              <w:rPr>
                <w:rFonts w:ascii="Arial" w:hAnsi="Arial"/>
                <w:b/>
                <w:color w:val="0F5A3A"/>
                <w:sz w:val="13"/>
              </w:rPr>
              <w:t>UK · Ofcom Connected Nations</w:t>
            </w:r>
          </w:p>
        </w:tc>
        <w:tc>
          <w:tcPr>
            <w:tcW w:type="dxa" w:w="7056"/>
            <w:shd w:fill="F7F9F7"/>
            <w:vAlign w:val="center"/>
            <w:tcMar>
              <w:top w:w="55" w:type="dxa"/>
              <w:start w:w="70" w:type="dxa"/>
              <w:bottom w:w="55" w:type="dxa"/>
              <w:end w:w="70" w:type="dxa"/>
            </w:tcMar>
          </w:tcPr>
          <w:p>
            <w:pPr>
              <w:spacing w:before="0" w:after="0"/>
            </w:pPr>
            <w:r/>
            <w:r>
              <w:rPr>
                <w:rFonts w:ascii="Arial" w:hAnsi="Arial"/>
                <w:b w:val="0"/>
                <w:color w:val="23382F"/>
                <w:sz w:val="13"/>
              </w:rPr>
              <w:t>Spring 2026 provides a current fixed-broadband availability snapshot; planned deployment reporting shows continuing full-fibre expansion.</w:t>
            </w:r>
          </w:p>
        </w:tc>
        <w:tc>
          <w:tcPr>
            <w:tcW w:type="dxa" w:w="5040"/>
            <w:shd w:fill="F7F9F7"/>
            <w:vAlign w:val="center"/>
            <w:tcMar>
              <w:top w:w="55" w:type="dxa"/>
              <w:start w:w="70" w:type="dxa"/>
              <w:bottom w:w="55" w:type="dxa"/>
              <w:end w:w="70" w:type="dxa"/>
            </w:tcMar>
          </w:tcPr>
          <w:p>
            <w:pPr>
              <w:spacing w:before="0" w:after="0"/>
            </w:pPr>
            <w:r/>
            <w:r>
              <w:rPr>
                <w:rFonts w:ascii="Arial" w:hAnsi="Arial"/>
                <w:b w:val="0"/>
                <w:color w:val="23382F"/>
                <w:sz w:val="13"/>
              </w:rPr>
              <w:t>https://www.ofcom.org.uk/phones-and-broadband/coverage-and-speeds/connected-nations-update-spring-2026</w:t>
            </w:r>
          </w:p>
        </w:tc>
      </w:tr>
      <w:tr>
        <w:tc>
          <w:tcPr>
            <w:tcW w:type="dxa" w:w="3168"/>
            <w:shd w:fill="FFFFFF"/>
            <w:vAlign w:val="center"/>
            <w:tcMar>
              <w:top w:w="55" w:type="dxa"/>
              <w:start w:w="70" w:type="dxa"/>
              <w:bottom w:w="55" w:type="dxa"/>
              <w:end w:w="70" w:type="dxa"/>
            </w:tcMar>
          </w:tcPr>
          <w:p>
            <w:pPr>
              <w:spacing w:before="0" w:after="0"/>
            </w:pPr>
            <w:r/>
            <w:r>
              <w:rPr>
                <w:rFonts w:ascii="Arial" w:hAnsi="Arial"/>
                <w:b/>
                <w:color w:val="0F5A3A"/>
                <w:sz w:val="13"/>
              </w:rPr>
              <w:t>UK · Openreach</w:t>
            </w:r>
          </w:p>
        </w:tc>
        <w:tc>
          <w:tcPr>
            <w:tcW w:type="dxa" w:w="7056"/>
            <w:shd w:fill="FFFFFF"/>
            <w:vAlign w:val="center"/>
            <w:tcMar>
              <w:top w:w="55" w:type="dxa"/>
              <w:start w:w="70" w:type="dxa"/>
              <w:bottom w:w="55" w:type="dxa"/>
              <w:end w:w="70" w:type="dxa"/>
            </w:tcMar>
          </w:tcPr>
          <w:p>
            <w:pPr>
              <w:spacing w:before="0" w:after="0"/>
            </w:pPr>
            <w:r/>
            <w:r>
              <w:rPr>
                <w:rFonts w:ascii="Arial" w:hAnsi="Arial"/>
                <w:b w:val="0"/>
                <w:color w:val="23382F"/>
                <w:sz w:val="13"/>
              </w:rPr>
              <w:t>PSTN retirement is 31 January 2027; Openreach states FTTC cabinet-to-home copper can remain until Full Fibre reaches the area.</w:t>
            </w:r>
          </w:p>
        </w:tc>
        <w:tc>
          <w:tcPr>
            <w:tcW w:type="dxa" w:w="5040"/>
            <w:shd w:fill="FFFFFF"/>
            <w:vAlign w:val="center"/>
            <w:tcMar>
              <w:top w:w="55" w:type="dxa"/>
              <w:start w:w="70" w:type="dxa"/>
              <w:bottom w:w="55" w:type="dxa"/>
              <w:end w:w="70" w:type="dxa"/>
            </w:tcMar>
          </w:tcPr>
          <w:p>
            <w:pPr>
              <w:spacing w:before="0" w:after="0"/>
            </w:pPr>
            <w:r/>
            <w:r>
              <w:rPr>
                <w:rFonts w:ascii="Arial" w:hAnsi="Arial"/>
                <w:b w:val="0"/>
                <w:color w:val="23382F"/>
                <w:sz w:val="13"/>
              </w:rPr>
              <w:t>https://www.openreach.com/fibre-broadband/superfast-fibre-broadband</w:t>
              <w:br/>
              <w:t>https://www.openreach.com/big-switch-off</w:t>
            </w:r>
          </w:p>
        </w:tc>
      </w:tr>
      <w:tr>
        <w:tc>
          <w:tcPr>
            <w:tcW w:type="dxa" w:w="3168"/>
            <w:shd w:fill="F7F9F7"/>
            <w:vAlign w:val="center"/>
            <w:tcMar>
              <w:top w:w="55" w:type="dxa"/>
              <w:start w:w="70" w:type="dxa"/>
              <w:bottom w:w="55" w:type="dxa"/>
              <w:end w:w="70" w:type="dxa"/>
            </w:tcMar>
          </w:tcPr>
          <w:p>
            <w:pPr>
              <w:spacing w:before="0" w:after="0"/>
            </w:pPr>
            <w:r/>
            <w:r>
              <w:rPr>
                <w:rFonts w:ascii="Arial" w:hAnsi="Arial"/>
                <w:b/>
                <w:color w:val="0F5A3A"/>
                <w:sz w:val="13"/>
              </w:rPr>
              <w:t>Germany · Bundesnetzagentur</w:t>
            </w:r>
          </w:p>
        </w:tc>
        <w:tc>
          <w:tcPr>
            <w:tcW w:type="dxa" w:w="7056"/>
            <w:shd w:fill="F7F9F7"/>
            <w:vAlign w:val="center"/>
            <w:tcMar>
              <w:top w:w="55" w:type="dxa"/>
              <w:start w:w="70" w:type="dxa"/>
              <w:bottom w:w="55" w:type="dxa"/>
              <w:end w:w="70" w:type="dxa"/>
            </w:tcMar>
          </w:tcPr>
          <w:p>
            <w:pPr>
              <w:spacing w:before="0" w:after="0"/>
            </w:pPr>
            <w:r/>
            <w:r>
              <w:rPr>
                <w:rFonts w:ascii="Arial" w:hAnsi="Arial"/>
                <w:b w:val="0"/>
                <w:color w:val="23382F"/>
                <w:sz w:val="13"/>
              </w:rPr>
              <w:t>Copper-to-fibre migration is planned as a controlled regional process. The regulator notes VDSL remains part of current demand while fibre rollout continues.</w:t>
            </w:r>
          </w:p>
        </w:tc>
        <w:tc>
          <w:tcPr>
            <w:tcW w:type="dxa" w:w="5040"/>
            <w:shd w:fill="F7F9F7"/>
            <w:vAlign w:val="center"/>
            <w:tcMar>
              <w:top w:w="55" w:type="dxa"/>
              <w:start w:w="70" w:type="dxa"/>
              <w:bottom w:w="55" w:type="dxa"/>
              <w:end w:w="70" w:type="dxa"/>
            </w:tcMar>
          </w:tcPr>
          <w:p>
            <w:pPr>
              <w:spacing w:before="0" w:after="0"/>
            </w:pPr>
            <w:r/>
            <w:r>
              <w:rPr>
                <w:rFonts w:ascii="Arial" w:hAnsi="Arial"/>
                <w:b w:val="0"/>
                <w:color w:val="23382F"/>
                <w:sz w:val="13"/>
              </w:rPr>
              <w:t>https://www.bundesnetzagentur.de/EN/Areas/Telecommunications/Copper_Fibre/start.html</w:t>
            </w:r>
          </w:p>
        </w:tc>
      </w:tr>
    </w:tbl>
    <w:tbl>
      <w:tblPr>
        <w:tblW w:type="auto" w:w="0"/>
        <w:tblLook w:firstColumn="1" w:firstRow="1" w:lastColumn="0" w:lastRow="0" w:noHBand="0" w:noVBand="1" w:val="04A0"/>
      </w:tblPr>
      <w:tblGrid>
        <w:gridCol w:w="15624"/>
      </w:tblGrid>
      <w:tr>
        <w:tc>
          <w:tcPr>
            <w:tcW w:type="dxa" w:w="15624"/>
            <w:shd w:fill="FFF6E6"/>
            <w:tcMar>
              <w:top w:w="85" w:type="dxa"/>
              <w:start w:w="105" w:type="dxa"/>
              <w:bottom w:w="85" w:type="dxa"/>
              <w:end w:w="105" w:type="dxa"/>
            </w:tcMar>
          </w:tcPr>
          <w:p>
            <w:r/>
            <w:r>
              <w:rPr>
                <w:b/>
                <w:color w:val="0F5A3A"/>
              </w:rPr>
              <w:t xml:space="preserve">Publication rule. </w:t>
            </w:r>
            <w:r>
              <w:t>This document is general information, not a laboratory test, provider recommendation or guarantee of availability. Verify the current technology, speeds, price, contract terms, migration status and installation requirements for the exact address before choosing or changing service.</w:t>
            </w:r>
          </w:p>
        </w:tc>
      </w:tr>
    </w:tbl>
    <w:p>
      <w:pPr>
        <w:spacing w:before="40" w:after="0"/>
      </w:pPr>
      <w:r>
        <w:rPr>
          <w:rFonts w:ascii="Arial" w:hAnsi="Arial"/>
          <w:color w:val="6A756F"/>
          <w:sz w:val="14"/>
        </w:rPr>
        <w:t>ONOCRA · Independent, evidence-first technology guidance for households</w:t>
      </w:r>
      <w:r>
        <w:t xml:space="preserve">                                                                      </w:t>
      </w:r>
      <w:r>
        <w:rPr>
          <w:rFonts w:ascii="Arial" w:hAnsi="Arial"/>
          <w:color w:val="6A756F"/>
          <w:sz w:val="14"/>
        </w:rPr>
        <w:t>Page 6</w:t>
      </w:r>
    </w:p>
    <w:sectPr w:rsidR="00FC693F" w:rsidRPr="0006063C" w:rsidSect="00034616">
      <w:pgSz w:w="16834" w:h="11909" w:orient="landscape"/>
      <w:pgMar w:top="504" w:right="605" w:bottom="504"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382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F5A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F5A3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F5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F5A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