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60" w:line="252" w:lineRule="auto"/>
        <w:jc w:val="center"/>
      </w:pPr>
      <w:r>
        <w:rPr>
          <w:rFonts w:ascii="Georgia" w:hAnsi="Georgia"/>
          <w:b/>
          <w:color w:val="0D5C3B"/>
          <w:sz w:val="56"/>
        </w:rPr>
        <w:t>ONOCRA.</w:t>
      </w:r>
      <w:r>
        <w:rPr>
          <w:color w:val="D77E39"/>
          <w:sz w:val="56"/>
        </w:rPr>
        <w:t xml:space="preserve">  •</w:t>
      </w:r>
    </w:p>
    <w:p>
      <w:pPr>
        <w:pStyle w:val="Title"/>
        <w:jc w:val="center"/>
      </w:pPr>
      <w:r>
        <w:t>Internet &amp; Wi-Fi Guides Master Index</w:t>
      </w:r>
    </w:p>
    <w:p>
      <w:pPr>
        <w:spacing w:after="60" w:line="252" w:lineRule="auto"/>
        <w:jc w:val="center"/>
      </w:pPr>
      <w:r>
        <w:rPr>
          <w:b/>
          <w:color w:val="587064"/>
          <w:sz w:val="24"/>
        </w:rPr>
        <w:t>Technology taxonomy · US / UK / Germany availability · Guide production map · Step 4 evidence schema</w:t>
      </w:r>
    </w:p>
    <w:p>
      <w:pPr>
        <w:spacing w:after="60" w:line="252" w:lineRule="auto"/>
        <w:jc w:val="center"/>
      </w:pPr>
      <w:r>
        <w:rPr>
          <w:color w:val="B86E36"/>
          <w:sz w:val="20"/>
        </w:rPr>
        <w:t>Version 1.0 · October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64"/>
      </w:tblGrid>
      <w:tr>
        <w:tc>
          <w:tcPr>
            <w:tcW w:type="dxa" w:w="15394"/>
            <w:shd w:fill="EE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D5C3B"/>
              </w:rPr>
              <w:t xml:space="preserve">Purpose.  </w:t>
            </w:r>
            <w:r>
              <w:rPr>
                <w:color w:val="334E40"/>
              </w:rPr>
              <w:t>This is the single publishing map for ONOCRA Home Internet &amp; Wi-Fi guides. It separates the outside-in internet access layer (WAN) from the inside-the-home Wi-Fi layer (WLAN), identifies the documents required for complete coverage, records regional maturity for the US, UK and Germany, and defines the evidence fields Step 4 should use.</w:t>
            </w:r>
          </w:p>
        </w:tc>
      </w:tr>
    </w:tbl>
    <w:p>
      <w:pPr>
        <w:spacing w:before="200" w:after="60" w:line="252" w:lineRule="auto"/>
      </w:pPr>
      <w:r>
        <w:rPr>
          <w:b/>
          <w:color w:val="0D5C3B"/>
        </w:rPr>
        <w:t>Status legend</w:t>
      </w:r>
    </w:p>
    <w:p>
      <w:pPr>
        <w:pStyle w:val="ListBullet"/>
        <w:spacing w:after="40"/>
      </w:pPr>
      <w:r>
        <w:t>M — Mature / current: Broadly sold or deployed; still address/device dependent.</w:t>
      </w:r>
    </w:p>
    <w:p>
      <w:pPr>
        <w:pStyle w:val="ListBullet"/>
        <w:spacing w:after="40"/>
      </w:pPr>
      <w:r>
        <w:t>L — Legacy / declining: Still in active use, but migration or retirement is underway.</w:t>
      </w:r>
    </w:p>
    <w:p>
      <w:pPr>
        <w:pStyle w:val="ListBullet"/>
        <w:spacing w:after="40"/>
      </w:pPr>
      <w:r>
        <w:t>E — Emerging / limited: Real deployments or early products exist, but not a mainstream national baseline.</w:t>
      </w:r>
    </w:p>
    <w:p>
      <w:pPr>
        <w:pStyle w:val="ListBullet"/>
        <w:spacing w:after="40"/>
      </w:pPr>
      <w:r>
        <w:t>P — Pre-standard / horizon: Standards work, trials or pre-standard products; do not use as a normal current recommendation.</w:t>
      </w:r>
    </w:p>
    <w:p>
      <w:pPr>
        <w:pStyle w:val="ListBullet"/>
        <w:spacing w:after="40"/>
      </w:pPr>
      <w:r>
        <w:t>V — Verify locally: Availability must be checked for the exact address, service plan, spectrum/regulatory domain or client device.</w:t>
      </w:r>
    </w:p>
    <w:p>
      <w:pPr>
        <w:pStyle w:val="Heading1"/>
      </w:pPr>
      <w:r>
        <w:t>1. Canonical technology map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64"/>
      </w:tblGrid>
      <w:tr>
        <w:tc>
          <w:tcPr>
            <w:tcW w:type="dxa" w:w="15394"/>
            <w:shd w:fill="FFF6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D5C3B"/>
              </w:rPr>
              <w:t xml:space="preserve">Rule.  </w:t>
            </w:r>
            <w:r>
              <w:rPr>
                <w:color w:val="334E40"/>
              </w:rPr>
              <w:t>A technology name in Step 3, the Guides index, article titles and Step 4 must use the same canonical label. Generation names belong under a technology family; topology names such as Mesh do not become Wi-Fi generations.</w:t>
            </w:r>
          </w:p>
        </w:tc>
      </w:tr>
    </w:tbl>
    <w:p>
      <w:pPr>
        <w:pStyle w:val="Heading2"/>
      </w:pPr>
      <w:r>
        <w:t>A. Home Internet — WAN / outside-in delivery layer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99"/>
        <w:gridCol w:w="2199"/>
        <w:gridCol w:w="2199"/>
        <w:gridCol w:w="2199"/>
        <w:gridCol w:w="2199"/>
        <w:gridCol w:w="2199"/>
        <w:gridCol w:w="2199"/>
      </w:tblGrid>
      <w:tr>
        <w:trPr>
          <w:tblHeader w:val="true"/>
        </w:trP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Canonical family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Generations / variants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Typical home hardware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UK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Germany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Index note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DSL / Copper Broadband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ADSL, ADSL2+, VDSL; FTTC where copper remains for the final segment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DSL modem / gateway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L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M→L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Legacy family. UK transition is nuanced: PSTN retires 31 Jan 2027, but FTTC copper last-mile may remain until Full Fibre reaches an area.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Cable Broadband / Coax (HFC)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DOCSIS 3.0 / 3.1 today; DOCSIS 4.0 tracked separately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Cable modem / gateway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Mature shared HFC access family. Always verify upstream capability, node load, modem generation and the provider upgrade path.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Full Fibre / FTTP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GPON, XGS-PON and other PON variants; later 25G/50G-class PON evolution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ONT + router / gateway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Modern optical access family. FTTP means fibre reaches the premises; FTTB is not automatically FTTP to the individual dwelling.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4G / 5G Fixed Wireless Access (FWA)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4G LTE, 5G NSA/SA; band and cell capacity vary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Indoor gateway; sometimes outdoor receiver / antenna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M·V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M·V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M·V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Home service depends on an address-specific fixed-wireless offer, signal path and cell capacity. A general 5G coverage map is not proof that a home FWA plan is purchasable.</w:t>
            </w:r>
          </w:p>
        </w:tc>
      </w:tr>
      <w:tr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Satellite Internet</w:t>
            </w:r>
          </w:p>
        </w:tc>
        <w:tc>
          <w:tcPr>
            <w:tcW w:type="dxa" w:w="29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LEO and GEO must be distinguished</w:t>
            </w:r>
          </w:p>
        </w:tc>
        <w:tc>
          <w:tcPr>
            <w:tcW w:type="dxa" w:w="223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Satellite terminal / dish or flat-panel antenna + router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M·V</w:t>
            </w:r>
          </w:p>
        </w:tc>
        <w:tc>
          <w:tcPr>
            <w:tcW w:type="dxa" w:w="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M·V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M·V</w:t>
            </w:r>
          </w:p>
        </w:tc>
        <w:tc>
          <w:tcPr>
            <w:tcW w:type="dxa" w:w="51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Service is site- and capacity-dependent. LEO can reduce delay relative to GEO, but satellite is not “absolute availability”; obstruction, weather, plan capacity and regulation still matter.</w:t>
            </w:r>
          </w:p>
        </w:tc>
      </w:tr>
    </w:tbl>
    <w:p>
      <w:pPr>
        <w:spacing w:after="60" w:line="252" w:lineRule="auto"/>
      </w:pPr>
    </w:p>
    <w:p>
      <w:pPr>
        <w:pStyle w:val="Heading2"/>
      </w:pPr>
      <w:r>
        <w:t>B. Next-generation WAN horizon — keep separate from current household choices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Horizon technology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US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UK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Germany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How ONOCRA should classify it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DOCSIS 4.0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 — limited commercial deployment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 — operator roadmap / verify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 — development / future pathway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Track as an upgrade generation of HFC, not a sixth access family. US has real limited commercial deployments; UK/Germany should not be reduced to a simple yes/no nationwide flag.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25G / 50G-class PON evolution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 / provider-specific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 / provider-specific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 / provider-specific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Advanced fibre evolution. Keep under FTTP/PON; only surface in Step 4 when a provider/address actually offers it.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5G-Advanced FWA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Network evolution inside the FWA family. Do not treat 6G as a current household product; 6G belongs to research horizon until commercial access exists.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Next-generation LEO / NTN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</w:t>
            </w:r>
          </w:p>
        </w:tc>
        <w:tc>
          <w:tcPr>
            <w:tcW w:type="dxa" w:w="17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Satellite evolution, capacity and direct-to-device / non-terrestrial-network developments belong under Satellite, not as a separate basic household access type.</w:t>
            </w:r>
          </w:p>
        </w:tc>
      </w:tr>
    </w:tbl>
    <w:p>
      <w:pPr>
        <w:spacing w:after="60" w:line="252" w:lineRule="auto"/>
      </w:pPr>
    </w:p>
    <w:p>
      <w:pPr>
        <w:pStyle w:val="Heading2"/>
      </w:pPr>
      <w:r>
        <w:t>C. Home Wi-Fi — WLAN / inside-the-house local layer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6"/>
        <w:gridCol w:w="2566"/>
        <w:gridCol w:w="2566"/>
        <w:gridCol w:w="2566"/>
        <w:gridCol w:w="2566"/>
        <w:gridCol w:w="2566"/>
      </w:tblGrid>
      <w:tr>
        <w:trPr>
          <w:tblHeader w:val="true"/>
        </w:trP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Canonical Wi-Fi label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Maturity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US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UK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Germany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Guide note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4 or older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Legacy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 only where the visitor has older hardware. Keep as one legacy bucket in Step 3.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5 (802.11ac)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Mature legacy/current installed base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802.11ac itself is a 5 GHz standard. Dual-band Wi-Fi 5 routers may also provide 2.4 GHz using an earlier Wi-Fi mode.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6 (802.11ax)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Current mature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Mainstream modern baseline; designed for efficiency in dense device environments.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6E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Current, 6 GHz extension of Wi-Fi 6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M·V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M·V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M·V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Adds access to 6 GHz where permitted. Country rules and client support matter; “6E” is not a guarantee of better range.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7 (802.11be)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Current latest certified generation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M·V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M·V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M·V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Multi-Link Operation and wider-channel features depend on region, device and implementation. Do not imply every client uses all bands simultaneously.</w:t>
            </w:r>
          </w:p>
        </w:tc>
      </w:tr>
      <w:tr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8 / IEEE P802.11bn</w:t>
            </w:r>
          </w:p>
        </w:tc>
        <w:tc>
          <w:tcPr>
            <w:tcW w:type="dxa" w:w="25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Pre-standard / early hardware horizon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P/E</w:t>
            </w:r>
          </w:p>
        </w:tc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P/E</w:t>
            </w:r>
          </w:p>
        </w:tc>
        <w:tc>
          <w:tcPr>
            <w:tcW w:type="dxa" w:w="11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P/E</w:t>
            </w:r>
          </w:p>
        </w:tc>
        <w:tc>
          <w:tcPr>
            <w:tcW w:type="dxa" w:w="72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IEEE P802.11bn was at Draft 2.0 in Sep 2026 with final standard approval projected for 2028. Early pre-standard routers may appear, but it is not yet a finalized mainstream client ecosystem.</w:t>
            </w:r>
          </w:p>
        </w:tc>
      </w:tr>
    </w:tbl>
    <w:p>
      <w:pPr>
        <w:spacing w:after="60" w:line="252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64"/>
      </w:tblGrid>
      <w:tr>
        <w:tc>
          <w:tcPr>
            <w:tcW w:type="dxa" w:w="15394"/>
            <w:shd w:fill="F5F8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D5C3B"/>
              </w:rPr>
              <w:t xml:space="preserve">Topology is separate from generation.  </w:t>
            </w:r>
            <w:r>
              <w:rPr>
                <w:color w:val="334E40"/>
              </w:rPr>
              <w:t>Mesh, single-router, access points, extenders, Ethernet backhaul, powerline and MoCA are deployment/topology choices. “Mesh” can use Wi-Fi 5, 6, 6E, 7 or later. EasyMesh is a Wi-Fi interoperability framework; Matter is a smart-home application/connectivity standard and should not be described as a Wi-Fi mesh-routing generation.</w:t>
            </w:r>
          </w:p>
        </w:tc>
      </w:tr>
    </w:tbl>
    <w:p>
      <w:pPr>
        <w:pStyle w:val="Heading1"/>
      </w:pPr>
      <w:r>
        <w:t>2. Regional verification map — how ONOCRA should prove availability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Market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Primary official availability source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What to verify there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Commercial evidence layer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Important caution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United States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FCC National Broadband Map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Exact-location fixed availability by technology: DSL/copper, cable/HFC, fibre, fixed wireless, GEO/NGSO satellite; provider-reported maximum advertised speeds.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Provider broadband label / plan disclosure; independent tests where relevant.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Use the fixed map for home FWA. Mobile 4G/5G coverage is not the same thing as a purchasable fixed-home service.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United Kingdom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Ofcom Connected Nations + provider/Openreach address checker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Fixed-line and FWA network coverage; full-fibre rollout; satellite context; migration of legacy access.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Pre-contract information / contract summary; provider speed and installation terms.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PSTN retirement is 31 Jan 2027, but Openreach states FTTC copper from cabinet to premises can remain until Full Fibre reaches an area.</w:t>
            </w:r>
          </w:p>
        </w:tc>
      </w:tr>
      <w:tr>
        <w:tc>
          <w:tcPr>
            <w:tcW w:type="dxa" w:w="16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Germany</w:t>
            </w:r>
          </w:p>
        </w:tc>
        <w:tc>
          <w:tcPr>
            <w:tcW w:type="dxa" w:w="28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Bundesnetzagentur Gigabit-Grundbuch / Breitbandatlas</w:t>
            </w:r>
          </w:p>
        </w:tc>
        <w:tc>
          <w:tcPr>
            <w:tcW w:type="dxa" w:w="46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FTTH/FTTB, FTTC, HFC and mobile technology coverage; public 100m grid views and data downloads.</w:t>
            </w:r>
          </w:p>
        </w:tc>
        <w:tc>
          <w:tcPr>
            <w:tcW w:type="dxa" w:w="331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Provider product information / contract terms; Bundesnetzagentur broadband measurement where applicable.</w:t>
            </w:r>
          </w:p>
        </w:tc>
        <w:tc>
          <w:tcPr>
            <w:tcW w:type="dxa" w:w="45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Germany remains a mixed DSL/HFC/fibre market while regulated copper-to-fibre migration is being designed region by region.</w:t>
            </w:r>
          </w:p>
        </w:tc>
      </w:tr>
    </w:tbl>
    <w:p>
      <w:pPr>
        <w:spacing w:after="60" w:line="252" w:lineRule="auto"/>
      </w:pPr>
    </w:p>
    <w:p>
      <w:pPr>
        <w:spacing w:after="60" w:line="252" w:lineRule="auto"/>
      </w:pPr>
      <w:r>
        <w:rPr>
          <w:b/>
        </w:rPr>
        <w:t xml:space="preserve">Satellite verification: </w:t>
      </w:r>
      <w:r>
        <w:t>use the provider service-address checker plus obstruction / clear-sky assessment. National service presence does not prove a specific roof, balcony or plan has suitable capacity.</w:t>
      </w:r>
    </w:p>
    <w:p>
      <w:pPr>
        <w:spacing w:after="60" w:line="252" w:lineRule="auto"/>
      </w:pPr>
      <w:r>
        <w:rPr>
          <w:b/>
        </w:rPr>
        <w:t xml:space="preserve">Wi-Fi verification: </w:t>
      </w:r>
      <w:r>
        <w:t>this is not an ISP coverage question. Verify retail/product availability, regulatory domain, supported bands/channels, device/client compatibility, certification and firmware support for the target market.</w:t>
      </w:r>
    </w:p>
    <w:p>
      <w:pPr>
        <w:pStyle w:val="Heading1"/>
      </w:pPr>
      <w:r>
        <w:t>3. Master guide production index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64"/>
      </w:tblGrid>
      <w:tr>
        <w:tc>
          <w:tcPr>
            <w:tcW w:type="dxa" w:w="15394"/>
            <w:shd w:fill="EEF6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D5C3B"/>
              </w:rPr>
              <w:t xml:space="preserve">Publishing principle.  </w:t>
            </w:r>
            <w:r>
              <w:rPr>
                <w:color w:val="334E40"/>
              </w:rPr>
              <w:t>The library should be complete enough that Step 4 can compare any of the five current access families without inventing facts. Finalized guides are canonical; older technical drafts should be archived, not published beside the final consumer guide.</w:t>
            </w:r>
          </w:p>
        </w:tc>
      </w:tr>
    </w:tbl>
    <w:p>
      <w:pPr>
        <w:pStyle w:val="Heading2"/>
      </w:pPr>
      <w:r>
        <w:t>A. Core access-family guides — required reference pages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</w:trP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Guide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Markets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Must cover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WAN-01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Understanding DSL / Copper Broadband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 · UK · DE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Architecture, ADSL/VDSL/FTTC, distance/line quality, migration status, equipment, what to verify.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WAN-02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Understanding Cable Broadband / Coax (HFC)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 · UK · DE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HFC architecture, DOCSIS generations, upstream/downstream asymmetry, node sharing, equipment, DOCSIS 4.0 horizon.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WAN-03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Understanding Full Fibre / FTTP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 · UK · DE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FTTP vs FTTB/FTTC, PON generations, ONT, shared PON capacity, symmetry, installation, upgrade path.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WAN-04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Understanding 4G / 5G Fixed Wireless Access (FWA)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 · UK · DE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Cell/spectrum/band, indoor vs outdoor receiver, load, CGNAT/public IP, data policy, trial/site test.</w:t>
            </w:r>
          </w:p>
        </w:tc>
      </w:tr>
      <w:tr>
        <w:tc>
          <w:tcPr>
            <w:tcW w:type="dxa" w:w="9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WAN-05</w:t>
            </w:r>
          </w:p>
        </w:tc>
        <w:tc>
          <w:tcPr>
            <w:tcW w:type="dxa" w:w="432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Understanding Satellite Internet — LEO vs GEO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18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 · UK · DE</w:t>
            </w:r>
          </w:p>
        </w:tc>
        <w:tc>
          <w:tcPr>
            <w:tcW w:type="dxa" w:w="73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Orbit type, obstruction, weather, terminal, latency, capacity/fair-use, portability and power.</w:t>
            </w:r>
          </w:p>
        </w:tc>
      </w:tr>
    </w:tbl>
    <w:p>
      <w:pPr>
        <w:spacing w:after="60" w:line="252" w:lineRule="auto"/>
      </w:pPr>
    </w:p>
    <w:p>
      <w:pPr>
        <w:pStyle w:val="Heading2"/>
      </w:pPr>
      <w:r>
        <w:t>B. Complete pairwise comparison matrix — 10 guides for 5 access families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Pairwise guide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Canonical production note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CMP-01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Full Fibre / FTTP vs. DSL / Copper Broadband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FINAL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ONOCRA_Guide_Full_Fibre_FTTP_vs_DSL_Copper_Broadband.docx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CMP-02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Full Fibre / FTTP vs. Cable Broadband / Coax (HFC)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FINAL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ONOCRA_Guide_Full_Fibre_FTTP_vs_Cable_Broadband_Coax_HFC.docx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CMP-03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Full Fibre / FTTP vs. 4G / 5G Fixed Wireless Access (FWA)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FINAL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ONOCRA_Guide_Full_Fibre_FTTP_vs_4G_5G_Fixed_Wireless_Access_FWA.docx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CMP-04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Full Fibre / FTTP vs. Satellite Internet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 after current set is finalized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CMP-05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DSL / Copper Broadband vs. Cable Broadband / Coax (HFC)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CMP-06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DSL / Copper Broadband vs. 4G / 5G FWA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CMP-07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DSL / Copper Broadband vs. Satellite Internet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CMP-08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Cable Broadband / Coax (HFC) vs. 4G / 5G FWA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Create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CMP-09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Cable Broadband / Coax (HFC) vs. Satellite Internet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DRAFT EXISTS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Finalize the existing Coax vs Satellite document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CMP-10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4G / 5G Fixed Wireless Access (FWA) vs. Satellite Internet</w:t>
            </w:r>
          </w:p>
        </w:tc>
        <w:tc>
          <w:tcPr>
            <w:tcW w:type="dxa" w:w="180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DRAFT EXISTS</w:t>
            </w:r>
          </w:p>
        </w:tc>
        <w:tc>
          <w:tcPr>
            <w:tcW w:type="dxa" w:w="67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Finalize the fuller ONOCRA FWA vs Satellite household guide; retire duplicates</w:t>
            </w:r>
          </w:p>
        </w:tc>
      </w:tr>
    </w:tbl>
    <w:p>
      <w:pPr>
        <w:spacing w:after="60" w:line="252" w:lineRule="auto"/>
      </w:pPr>
    </w:p>
    <w:p>
      <w:pPr>
        <w:pStyle w:val="Heading2"/>
      </w:pPr>
      <w:r>
        <w:t>C. Decision and evidence guides — high-value shared references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Guide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DEC-01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Which Home Internet Type Fits My Home?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Five-way consumer decision guide: DSL, HFC, FTTP, FWA, Satellite.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DEC-02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How to Check Broadband Availability at Your Exact Address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 FCC / UK Ofcom + provider checker / Germany Gigabit-Grundbuch; explains why national maps are not enough.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DEC-03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Broadband Speed, Upload, Latency, Jitter &amp; Peak-Time Consistency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Defines metrics and fair testing; separates advertised speed from measured experience.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DEC-04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Broadband Contracts, Introductory Pricing, Equipment &amp; Exit Costs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Country-specific commercial checklist; avoid invented prices.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DEC-05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Public IP, CGNAT, IPv6, Port Forwarding &amp; Remote Access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Especially important for FWA/satellite and advanced users.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DEC-06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What Happens in a Power Cut? ONT, Modem, Router, FWA &amp; Satellite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Recommended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Separates access-network resilience from in-home equipment power.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DEC-07</w:t>
            </w:r>
          </w:p>
        </w:tc>
        <w:tc>
          <w:tcPr>
            <w:tcW w:type="dxa" w:w="6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Switching from Copper: FTTC/DSL to Full Fibre or Alternatives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UK/DE priority</w:t>
            </w:r>
          </w:p>
        </w:tc>
        <w:tc>
          <w:tcPr>
            <w:tcW w:type="dxa" w:w="655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Migration guide; regional retirement/transition rules must be dated.</w:t>
            </w:r>
          </w:p>
        </w:tc>
      </w:tr>
    </w:tbl>
    <w:p>
      <w:pPr>
        <w:spacing w:after="60" w:line="252" w:lineRule="auto"/>
      </w:pPr>
    </w:p>
    <w:p>
      <w:pPr>
        <w:pStyle w:val="Heading2"/>
      </w:pPr>
      <w:r>
        <w:t>D. Wi-Fi &amp; Mesh guide library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Guide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WLAN-01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Generations Explained: Wi-Fi 4, 5, 6, 6E and 7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One canonical generation ladder; separates band support, efficiency and device compatibility.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WLAN-02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6 vs. Wi-Fi 6E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Explains the 6 GHz addition, compatibility and range trade-offs.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WLAN-03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6E vs. Wi-Fi 7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Explains MLO, channel width, client support and why broadband speed may still be the bottleneck.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WLAN-04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7 vs. Wi-Fi 8 — What Is Real in 2026?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Horizon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Clearly mark Wi-Fi 8 as pre-standard; update as IEEE/Wi-Fi Alliance status changes.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WLAN-05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Router vs. Mesh vs. Access Points vs. Extender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Topology decision guide. Mesh is not a Wi-Fi generation.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WLAN-06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Ethernet Backhaul vs. Wireless Mesh Backhaul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Performance, cabling, placement and practical installation trade-offs.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WLAN-07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Where to Place a Router and Mesh Nodes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Coverage, walls, floors, interference, node spacing and verification tests.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WLAN-08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ISP Gateway vs. Your Own Router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Bridge mode, modem/ONT roles, compatibility, support and security updates.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WLAN-09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Home Wi-Fi Security: WPA3, Guest Networks, Updates &amp; Device Isolation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Cross-cutting PROTECT reference for router configuration.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WLAN-10</w:t>
            </w:r>
          </w:p>
        </w:tc>
        <w:tc>
          <w:tcPr>
            <w:tcW w:type="dxa" w:w="62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Parental Controls at Router Level — What They Can and Cannot Do</w:t>
            </w:r>
          </w:p>
        </w:tc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Required now</w:t>
            </w:r>
          </w:p>
        </w:tc>
        <w:tc>
          <w:tcPr>
            <w:tcW w:type="dxa" w:w="669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Cross-cutting parenting guide; network controls do not replace device-level controls/conversation.</w:t>
            </w:r>
          </w:p>
        </w:tc>
      </w:tr>
    </w:tbl>
    <w:p>
      <w:pPr>
        <w:spacing w:after="60" w:line="252" w:lineRule="auto"/>
      </w:pPr>
    </w:p>
    <w:p>
      <w:pPr>
        <w:pStyle w:val="Heading2"/>
      </w:pPr>
      <w:r>
        <w:t>E. Next-generation watchlist — research assets, not default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848"/>
        <w:gridCol w:w="3848"/>
        <w:gridCol w:w="3848"/>
      </w:tblGrid>
      <w:tr>
        <w:trPr>
          <w:tblHeader w:val="true"/>
        </w:trP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Guide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When</w:t>
            </w:r>
          </w:p>
        </w:tc>
        <w:tc>
          <w:tcPr>
            <w:tcW w:type="dxa" w:w="71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Editorial rule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HZN-01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DOCSIS 4.0: What Changes for Cable Broadband?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Now</w:t>
            </w:r>
          </w:p>
        </w:tc>
        <w:tc>
          <w:tcPr>
            <w:tcW w:type="dxa" w:w="71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Track commercial address availability separately from the technical standard.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HZN-02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Fibre Upgrade Path: GPON → XGS-PON → 25G/50G-class PON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Now</w:t>
            </w:r>
          </w:p>
        </w:tc>
        <w:tc>
          <w:tcPr>
            <w:tcW w:type="dxa" w:w="71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Explain why the access fibre can remain while endpoint/network optics evolve.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HZN-03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5G-Advanced and the Future of Fixed Wireless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Watch</w:t>
            </w:r>
          </w:p>
        </w:tc>
        <w:tc>
          <w:tcPr>
            <w:tcW w:type="dxa" w:w="71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Separate actual home products from mobile-network marketing; 6G remains research horizon.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HZN-04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Next-generation LEO / NTN Satellite Connectivity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Watch</w:t>
            </w:r>
          </w:p>
        </w:tc>
        <w:tc>
          <w:tcPr>
            <w:tcW w:type="dxa" w:w="71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Track new constellations/capacity and direct-to-device separately from fixed residential service.</w:t>
            </w:r>
          </w:p>
        </w:tc>
      </w:tr>
      <w:tr>
        <w:tc>
          <w:tcPr>
            <w:tcW w:type="dxa" w:w="100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HZN-05</w:t>
            </w:r>
          </w:p>
        </w:tc>
        <w:tc>
          <w:tcPr>
            <w:tcW w:type="dxa" w:w="633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8 / IEEE P802.11bn Status Tracker</w:t>
            </w:r>
          </w:p>
        </w:tc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Now</w:t>
            </w:r>
          </w:p>
        </w:tc>
        <w:tc>
          <w:tcPr>
            <w:tcW w:type="dxa" w:w="71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Draft-status page with dated updates; never present pre-standard hardware as a final certified ecosystem.</w:t>
            </w:r>
          </w:p>
        </w:tc>
      </w:tr>
    </w:tbl>
    <w:p>
      <w:pPr>
        <w:spacing w:after="60" w:line="252" w:lineRule="auto"/>
      </w:pPr>
    </w:p>
    <w:p>
      <w:pPr>
        <w:pStyle w:val="Heading1"/>
      </w:pPr>
      <w:r>
        <w:t>4. Step 4 evidence map — what every guide must feed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64"/>
      </w:tblGrid>
      <w:tr>
        <w:tc>
          <w:tcPr>
            <w:tcW w:type="dxa" w:w="15394"/>
            <w:shd w:fill="FFF6E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b/>
                <w:color w:val="0D5C3B"/>
              </w:rPr>
              <w:t xml:space="preserve">Design rule for Step 4.  </w:t>
            </w:r>
            <w:r>
              <w:rPr>
                <w:color w:val="334E40"/>
              </w:rPr>
              <w:t>Step 4 should not “summarize the DOCX files” at runtime. Each finalized guide should be distilled into the same structured evidence fields. Step 4 then selects and displays the fields relevant to the visitor’s category, route, country, current technology, goal and ranked priorities.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Standard fields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Why Step 4 needs it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Identity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technology_family · generation_variant · category · region · maturity_status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Prevents naming drift and distinguishes current vs emerging tech.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Availability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official_coverage_source · address_check_required · service_status · observation_date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Makes “available in country” separate from “available at this address”.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Architecture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medium · topology · shared_capacity · signal_path · backhaul_dependency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Explains the physical reason for strengths/limitations.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Performance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download_profile · upload_profile · latency · jitter · peak_time_consistency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Qualitative by default; quantified only when dated/source-specific evidence exists.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Home fit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house_type · device_count · remote_work · gaming · streaming · uploads · accessibility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Maps directly to Step 2/3 context without inventing a universal score.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Installation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hardware · cabling · antenna/sky_view · landlord_permission · self_install · activation_time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Useful for real household feasibility.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Commercial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monthly_price_snapshot · setup_fees · equipment_terms · contract_term · exit_terms · data_policy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Region/provider/date specific; never fabricate or preserve stale prices as current.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Networking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router_features · public_ip · CGNAT · IPv6 · bridge_mode · port_forwarding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Important for advanced users and FWA/satellite limitations.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Safety &amp; family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WPA level · guest_network · firmware_support · parental_controls · privacy_notes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Cross-cutting suitability, not merely an optional score.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Resilience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power_dependency · outage_behavior · weather/signal_sensitivity · backup_options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Prevents “internet reliability” from ignoring power and local RF/sky conditions.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Lifecycle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upgrade_path · migration_status · retirement_risk · future_standard_status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Keeps next-generation information separate from current recommendation.</w:t>
            </w:r>
          </w:p>
        </w:tc>
      </w:tr>
      <w:tr>
        <w:tc>
          <w:tcPr>
            <w:tcW w:type="dxa" w:w="194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Evidence</w:t>
            </w:r>
          </w:p>
        </w:tc>
        <w:tc>
          <w:tcPr>
            <w:tcW w:type="dxa" w:w="806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source_type · source_url · source_date · confidence · what_to_verify · editorial_interpretation</w:t>
            </w:r>
          </w:p>
        </w:tc>
        <w:tc>
          <w:tcPr>
            <w:tcW w:type="dxa" w:w="648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Supports ONOCRA’s evidence-first methodology and audit trail.</w:t>
            </w:r>
          </w:p>
        </w:tc>
      </w:tr>
    </w:tbl>
    <w:p>
      <w:pPr>
        <w:spacing w:after="60" w:line="252" w:lineRule="auto"/>
      </w:pPr>
    </w:p>
    <w:p>
      <w:pPr>
        <w:pStyle w:val="Heading2"/>
      </w:pPr>
      <w:r>
        <w:t>Recommended Step 4 display layers</w:t>
      </w:r>
    </w:p>
    <w:p>
      <w:pPr>
        <w:pStyle w:val="ListBullet"/>
        <w:spacing w:after="40"/>
      </w:pPr>
      <w:r>
        <w:t>1. Your context strip — country, category, route, current technology and ranked priorities.</w:t>
      </w:r>
    </w:p>
    <w:p>
      <w:pPr>
        <w:pStyle w:val="ListBullet"/>
        <w:spacing w:after="40"/>
      </w:pPr>
      <w:r>
        <w:t>2. Technology shortlist — only realistic families for the selected category; do not imply address-level availability until verified.</w:t>
      </w:r>
    </w:p>
    <w:p>
      <w:pPr>
        <w:pStyle w:val="ListBullet"/>
        <w:spacing w:after="40"/>
      </w:pPr>
      <w:r>
        <w:t>3. Comparison matrix — architecture, performance tendencies, household fit, installation, commercial checks, networking, safety and lifecycle.</w:t>
      </w:r>
    </w:p>
    <w:p>
      <w:pPr>
        <w:pStyle w:val="ListBullet"/>
        <w:spacing w:after="40"/>
      </w:pPr>
      <w:r>
        <w:t>4. “What to verify at your address” panel — the exact official/provider checks still needed before buying or switching.</w:t>
      </w:r>
    </w:p>
    <w:p>
      <w:pPr>
        <w:pStyle w:val="ListBullet"/>
        <w:spacing w:after="40"/>
      </w:pPr>
      <w:r>
        <w:t>5. Evidence badges — Provider claim / Independent evidence / ONOCRA editorial interpretation / Unverified.</w:t>
      </w:r>
    </w:p>
    <w:p>
      <w:pPr>
        <w:pStyle w:val="ListBullet"/>
        <w:spacing w:after="40"/>
      </w:pPr>
      <w:r>
        <w:t>6. Next-generation note — shown separately so emerging technology never contaminates the current recommendation.</w:t>
      </w:r>
    </w:p>
    <w:p>
      <w:pPr>
        <w:pStyle w:val="ListBullet"/>
        <w:spacing w:after="40"/>
      </w:pPr>
      <w:r>
        <w:t>7. Continue to Step 5 — Step 5 verdict may interpret the evidence but must not invent provider availability, prices, measurements or scores.</w:t>
      </w: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5. Quality-control corrections to the two supplied index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5"/>
              </w:rPr>
            </w:r>
            <w:r>
              <w:rPr>
                <w:rFonts w:ascii="Aptos" w:hAnsi="Aptos"/>
                <w:b/>
                <w:color w:val="FFFFFF"/>
                <w:sz w:val="15"/>
              </w:rPr>
              <w:t>Canonical correction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5 band statement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Correct: IEEE 802.11ac operates in 5 GHz. A “Wi-Fi 5” dual-band router may also offer 2.4 GHz using an earlier 802.11 mode; the Wi-Fi 5 standard itself should not be described as a 2.4 + 5 GHz standard.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6E wording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 “adds access to the 6 GHz band where permitted,” not language about clearing “atmospheric congestion.” Regulatory domain and compatible clients matter.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7 MLO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MLO can coordinate/use multiple links; do not promise that every product/client simultaneously uses 2.4, 5 and 6 GHz.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Wi-Fi 8 status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 not mark Wi-Fi 8 as a finished mainstream standard. IEEE P802.11bn was Draft 2.0 in Sep 2026; final IEEE approval is projected in 2028. Pre-standard routers announced in 2026 should be labeled early/pre-standard.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EasyMesh vs Matter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EasyMesh is a Wi-Fi mesh interoperability framework. Matter is a smart-home standard and should not be presented as a Wi-Fi mesh-routing generation.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UK copper transition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 not state that all copper broadband disappears with the Jan 2027 PSTN switch-off. Openreach notes that FTTC’s copper cabinet-to-home segment can remain until Full Fibre reaches the area.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Satellite “absolute availability”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Replace with “wide geographic reach, subject to regulatory service area, capacity, plan availability and clear-sky/obstruction conditions.” LEO and GEO remain separate performance classes.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DOCSIS 4.0 country flags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Use maturity labels rather than ✔/✖. US has limited real commercial deployments; UK/Germany are operator-roadmap / evolving markets and must be verified by provider/address.</w:t>
            </w:r>
          </w:p>
        </w:tc>
      </w:tr>
      <w:tr>
        <w:tc>
          <w:tcPr>
            <w:tcW w:type="dxa" w:w="338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FWA coverage</w:t>
            </w:r>
          </w:p>
        </w:tc>
        <w:tc>
          <w:tcPr>
            <w:tcW w:type="dxa" w:w="131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5"/>
              </w:rPr>
            </w:r>
            <w:r>
              <w:rPr>
                <w:rFonts w:ascii="Aptos" w:hAnsi="Aptos"/>
                <w:b w:val="0"/>
                <w:sz w:val="15"/>
              </w:rPr>
              <w:t>Do not infer home FWA from mobile 5G coverage alone. Fixed-home product eligibility, CPE, sector capacity and service-address policy are separate checks.</w:t>
            </w:r>
          </w:p>
        </w:tc>
      </w:tr>
    </w:tbl>
    <w:p>
      <w:pPr>
        <w:spacing w:after="60" w:line="252" w:lineRule="auto"/>
      </w:pPr>
    </w:p>
    <w:p>
      <w:pPr>
        <w:pStyle w:val="Heading1"/>
      </w:pPr>
      <w:r>
        <w:t>6. Publishing and file-management rules</w:t>
      </w:r>
    </w:p>
    <w:p>
      <w:pPr>
        <w:pStyle w:val="ListBullet"/>
        <w:spacing w:after="40"/>
      </w:pPr>
      <w:r>
        <w:t>Canonical filename pattern: ONOCRA_Guide_&lt;Technology_or_Comparison&gt;_&lt;optional_region_or_scope&gt;.docx.</w:t>
      </w:r>
    </w:p>
    <w:p>
      <w:pPr>
        <w:pStyle w:val="ListBullet"/>
        <w:spacing w:after="40"/>
      </w:pPr>
      <w:r>
        <w:t>Only one public canonical guide per topic. Older research briefs, side-by-side matrices and superseded duplicates stay in an archive/research folder, not in the public Guides index.</w:t>
      </w:r>
    </w:p>
    <w:p>
      <w:pPr>
        <w:pStyle w:val="ListBullet"/>
        <w:spacing w:after="40"/>
      </w:pPr>
      <w:r>
        <w:t>Every guide carries: scope, evidence key, observation/update date, region, “what to verify,” glossary, and a general-information / no-lab-test statement.</w:t>
      </w:r>
    </w:p>
    <w:p>
      <w:pPr>
        <w:pStyle w:val="ListBullet"/>
        <w:spacing w:after="40"/>
      </w:pPr>
      <w:r>
        <w:t>Regional claims that can change (coverage, rollout, standards maturity, product availability, pricing, contracts) require a snapshot date and source URL.</w:t>
      </w:r>
    </w:p>
    <w:p>
      <w:pPr>
        <w:pStyle w:val="ListBullet"/>
        <w:spacing w:after="40"/>
      </w:pPr>
      <w:r>
        <w:t>Use exact-address availability for broadband. Use country/regulatory/device availability for Wi-Fi. Never merge these two concepts.</w:t>
      </w:r>
    </w:p>
    <w:p>
      <w:pPr>
        <w:pStyle w:val="ListBullet"/>
        <w:spacing w:after="40"/>
      </w:pPr>
      <w:r>
        <w:t>When a new technology matures, update this Master Index first; then update Step 3 choices, guides, and Step 4 data schema together.</w:t>
      </w:r>
    </w:p>
    <w:p>
      <w:pPr>
        <w:pStyle w:val="Heading2"/>
      </w:pPr>
      <w:r>
        <w:t>Current finalized canonical comparison guides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97"/>
        <w:gridCol w:w="7697"/>
      </w:tblGrid>
      <w:tr>
        <w:trPr>
          <w:tblHeader w:val="true"/>
        </w:trP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5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Canonical filename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CMP-01</w:t>
            </w:r>
          </w:p>
        </w:tc>
        <w:tc>
          <w:tcPr>
            <w:tcW w:type="dxa" w:w="15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ONOCRA_Guide_Full_Fibre_FTTP_vs_DSL_Copper_Broadband.docx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CMP-02</w:t>
            </w:r>
          </w:p>
        </w:tc>
        <w:tc>
          <w:tcPr>
            <w:tcW w:type="dxa" w:w="15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ONOCRA_Guide_Full_Fibre_FTTP_vs_Cable_Broadband_Coax_HFC.docx</w:t>
            </w:r>
          </w:p>
        </w:tc>
      </w:tr>
      <w:tr>
        <w:tc>
          <w:tcPr>
            <w:tcW w:type="dxa" w:w="1440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CMP-03</w:t>
            </w:r>
          </w:p>
        </w:tc>
        <w:tc>
          <w:tcPr>
            <w:tcW w:type="dxa" w:w="150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ONOCRA_Guide_Full_Fibre_FTTP_vs_4G_5G_Fixed_Wireless_Access_FWA.docx</w:t>
            </w:r>
          </w:p>
        </w:tc>
      </w:tr>
    </w:tbl>
    <w:p>
      <w:pPr>
        <w:spacing w:after="60" w:line="252" w:lineRule="auto"/>
      </w:pPr>
    </w:p>
    <w:p>
      <w:pPr>
        <w:spacing w:after="60" w:line="252" w:lineRule="auto"/>
      </w:pPr>
      <w:r>
        <w:br w:type="page"/>
      </w:r>
    </w:p>
    <w:p>
      <w:pPr>
        <w:pStyle w:val="Heading1"/>
      </w:pPr>
      <w:r>
        <w:t>7. Verification sources for the master index (checked October 2026)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  <w:gridCol w:w="5131"/>
      </w:tblGrid>
      <w:tr>
        <w:trPr>
          <w:tblHeader w:val="true"/>
        </w:trP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Used to verify</w:t>
            </w:r>
          </w:p>
        </w:tc>
        <w:tc>
          <w:tcPr>
            <w:tcW w:type="dxa" w:w="230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0D5C3B"/>
          </w:tcPr>
          <w:p>
            <w:r>
              <w:rPr>
                <w:rFonts w:ascii="Aptos" w:hAnsi="Aptos"/>
                <w:b/>
                <w:color w:val="FFFFFF"/>
                <w:sz w:val="14"/>
              </w:rPr>
            </w:r>
            <w:r>
              <w:rPr>
                <w:rFonts w:ascii="Aptos" w:hAnsi="Aptos"/>
                <w:b/>
                <w:color w:val="FFFFFF"/>
                <w:sz w:val="14"/>
              </w:rPr>
              <w:t>Link</w:t>
            </w:r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United States — FCC National Broadband Map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Fixed availability categories include copper, coax/HFC, FTTP, GEO/NGSO satellite and terrestrial fixed wireless; location-level provider availability.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1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United Kingdom — Ofcom Connected Nations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Official fixed broadband, full-fibre, FWA and mobile coverage reporting; Spring 2026 snapshot and planned deployments.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2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United Kingdom — Openreach copper / FTTC transition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PSTN retirement 31 Jan 2027; FTTC copper last-mile may remain until Full Fibre reaches an area.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3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Germany — Gigabit-Grundbuch / Breitbandatlas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Official technology-specific fixed/mobile availability views and downloadable data; includes FTTH/FTTB, FTTC and HFC.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4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Germany — Bundesnetzagentur copper-to-fibre migration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Germany remains in a staged, regulated migration; copper switch-off is area/condition based, not a single immediate nationwide date.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5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IEEE 802.11 Working Group — P802.11bn timeline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Wi-Fi 8 / P802.11bn Draft 2.0 in Sep 2026; projected final approvals in 2028.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6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TP-Link 2026 Wi-Fi 8 announcements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Evidence that pre-standard Wi-Fi 8 router/mesh hardware is entering early market stages while IEEE 802.11bn remains under development.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7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Comcast DOCSIS 4.0 deployment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Confirms real but selective US commercial DOCSIS 4.0 deployment; not a nationwide maturity flag.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8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  <w:tr>
        <w:tc>
          <w:tcPr>
            <w:tcW w:type="dxa" w:w="43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  <w:shd w:fill="EDF5EF"/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Vodafone Germany DOCSIS reference</w:t>
            </w:r>
          </w:p>
        </w:tc>
        <w:tc>
          <w:tcPr>
            <w:tcW w:type="dxa" w:w="979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r>
              <w:rPr>
                <w:rFonts w:ascii="Aptos" w:hAnsi="Aptos"/>
                <w:b w:val="0"/>
                <w:sz w:val="14"/>
              </w:rPr>
              <w:t>DOCSIS 3.1 remains current in Vodafone Germany materials; DOCSIS 4.0 is described as a future/development path.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4"/>
              </w:rPr>
            </w:r>
            <w:hyperlink r:id="rId19">
              <w:r>
                <w:rPr>
                  <w:color w:val="0B6B4B"/>
                  <w:u w:val="single"/>
                </w:rPr>
                <w:t>Open source</w:t>
              </w:r>
            </w:hyperlink>
          </w:p>
        </w:tc>
      </w:tr>
    </w:tbl>
    <w:p>
      <w:pPr>
        <w:spacing w:before="160" w:after="60" w:line="252" w:lineRule="auto"/>
        <w:jc w:val="center"/>
      </w:pPr>
      <w:r>
        <w:rPr>
          <w:b/>
          <w:color w:val="0D5C3B"/>
          <w:sz w:val="18"/>
        </w:rPr>
        <w:t>MASTER INDEX DECISION: the five current WAN families and Wi-Fi 4/5/6/6E/7 are the stable consumer taxonomy. DOCSIS 4.0, advanced PON, 5G-Advanced / future 6G, next-generation LEO/NTN and Wi-Fi 8 are maintained as separate horizon layers until evidence supports normal household recommendations.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87D70"/>
        <w:sz w:val="15"/>
      </w:rPr>
      <w:t>ONOCRA · Independent, evidence-first technology guidance · Master index v1.0 · 19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D5C3B"/>
        <w:sz w:val="16"/>
      </w:rPr>
      <w:t>ONOCRA.  |  Internet &amp; Wi-Fi Guides Master Index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43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D5C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B86E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D5C3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roadbandmap.fcc.gov/" TargetMode="External"/><Relationship Id="rId12" Type="http://schemas.openxmlformats.org/officeDocument/2006/relationships/hyperlink" Target="https://www.ofcom.org.uk/phones-and-broadband/coverage-and-speeds/infrastructure-research" TargetMode="External"/><Relationship Id="rId13" Type="http://schemas.openxmlformats.org/officeDocument/2006/relationships/hyperlink" Target="https://www.openreach.com/fibre-broadband/standard-broadband" TargetMode="External"/><Relationship Id="rId14" Type="http://schemas.openxmlformats.org/officeDocument/2006/relationships/hyperlink" Target="https://gigabitgrundbuch.bund.de/GIGA/DE/Breitbandatlas/" TargetMode="External"/><Relationship Id="rId15" Type="http://schemas.openxmlformats.org/officeDocument/2006/relationships/hyperlink" Target="https://www.bundesnetzagentur.de/EN/Areas/Telecommunications/Copper_Fibre/start.html" TargetMode="External"/><Relationship Id="rId16" Type="http://schemas.openxmlformats.org/officeDocument/2006/relationships/hyperlink" Target="https://www.ieee802.org/11/Reports/802.11_Timelines.htm" TargetMode="External"/><Relationship Id="rId17" Type="http://schemas.openxmlformats.org/officeDocument/2006/relationships/hyperlink" Target="https://www.tp-link.com/uk/press/news/22503/" TargetMode="External"/><Relationship Id="rId18" Type="http://schemas.openxmlformats.org/officeDocument/2006/relationships/hyperlink" Target="https://corporate.comcast.com/press/releases/comcast-multi-gig-symmetrical-speeds-world-first-docsis-4-deployment" TargetMode="External"/><Relationship Id="rId19" Type="http://schemas.openxmlformats.org/officeDocument/2006/relationships/hyperlink" Target="https://www.vodafone.de/immobilienwirtschaft/magazin/blog/docsi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ONOCRA Internet &amp; Wi-Fi Guides Master Index — US UK Germany</dc:title>
  <dc:subject>Technology taxonomy, guide production map, regional availability and Step 4 evidence schema</dc:subject>
  <dc:creator>ONOCRA</dc:creator>
  <cp:keywords>ONOCRA, internet, Wi-Fi, broadband, FTTP, HFC, FWA, satellite, DSL, guides, US, UK, Germany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