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Launch planning meeting</w:t>
      </w:r>
    </w:p>
    <w:p>
      <w:pPr>
        <w:pStyle w:val="Subtitle"/>
      </w:pPr>
      <w:r>
        <w:t xml:space="preserve">Fieldwork Coffee · 9 October 2026 · 10:00–10:45</w:t>
      </w:r>
    </w:p>
    <w:p>
      <w:pPr>
        <w:pStyle w:val="Heading1"/>
      </w:pPr>
      <w:r>
        <w:t xml:space="preserve">Attendees</w:t>
      </w:r>
    </w:p>
    <w:p>
      <w:pPr>
        <w:pStyle w:val="Normal"/>
      </w:pPr>
      <w:r>
        <w:t xml:space="preserve">Maya Chen, Eli Morgan, Noor Patel and Jordan Lee</w:t>
      </w:r>
    </w:p>
    <w:p>
      <w:pPr>
        <w:pStyle w:val="Heading1"/>
      </w:pPr>
      <w:r>
        <w:t xml:space="preserve">Decisions</w:t>
      </w:r>
    </w:p>
    <w:p>
      <w:pPr>
        <w:pStyle w:val="Normal"/>
      </w:pPr>
      <w:r>
        <w:t xml:space="preserve">The team approved the forest-green packaging and agreed to keep the current shopfront wording. Seasonal menu names will be confirmed before the print proofs are prepared.</w:t>
      </w:r>
    </w:p>
    <w:p>
      <w:pPr>
        <w:pStyle w:val="Heading1"/>
      </w:pPr>
      <w:r>
        <w:t xml:space="preserve">Action items</w:t>
      </w:r>
    </w:p>
    <w:tbl>
      <w:tblPr>
        <w:tblW w:w="10080" w:type="dxa"/>
        <w:tblLayout w:type="fixed"/>
        <w:tblBorders>
          <w:bottom w:val="single" w:sz="4" w:color="D6DEE8"/>
          <w:insideH w:val="single" w:sz="4" w:color="D6DEE8"/>
        </w:tblBorders>
        <w:tblCellMar>
          <w:top w:w="130" w:type="dxa"/>
          <w:left w:w="120" w:type="dxa"/>
          <w:bottom w:w="130" w:type="dxa"/>
          <w:right w:w="120" w:type="dxa"/>
        </w:tblCellMar>
      </w:tblPr>
      <w:tblGrid>
        <w:gridCol w:w="5800"/>
        <w:gridCol w:w="1880"/>
        <w:gridCol w:w="2400"/>
      </w:tblGrid>
      <w:tr>
        <w:tc>
          <w:tcPr>
            <w:tcW w:w="5800" w:type="dxa"/>
            <w:shd w:fill="EDF2F7"/>
          </w:tcPr>
          <w:p>
            <w:pPr>
              <w:pStyle w:val="TableHeader"/>
            </w:pPr>
            <w:r>
              <w:t xml:space="preserve">Action</w:t>
            </w:r>
          </w:p>
        </w:tc>
        <w:tc>
          <w:tcPr>
            <w:tcW w:w="1880" w:type="dxa"/>
            <w:shd w:fill="EDF2F7"/>
          </w:tcPr>
          <w:p>
            <w:pPr>
              <w:pStyle w:val="TableHeader"/>
            </w:pPr>
            <w:r>
              <w:t xml:space="preserve">Owner</w:t>
            </w:r>
          </w:p>
        </w:tc>
        <w:tc>
          <w:tcPr>
            <w:tcW w:w="2400" w:type="dxa"/>
            <w:shd w:fill="EDF2F7"/>
          </w:tcPr>
          <w:p>
            <w:pPr>
              <w:pStyle w:val="TableHeader"/>
            </w:pPr>
            <w:r>
              <w:t xml:space="preserve">Due</w:t>
            </w:r>
          </w:p>
        </w:tc>
      </w:tr>
      <w:tr>
        <w:tc>
          <w:tcPr>
            <w:tcW w:w="5800" w:type="dxa"/>
            <w:shd w:fill="FFFFFF"/>
          </w:tcPr>
          <w:p>
            <w:pPr>
              <w:pStyle w:val="TableText"/>
            </w:pPr>
            <w:r>
              <w:t xml:space="preserve">Send final drink names</w:t>
            </w:r>
          </w:p>
        </w:tc>
        <w:tc>
          <w:tcPr>
            <w:tcW w:w="1880" w:type="dxa"/>
            <w:shd w:fill="FFFFFF"/>
          </w:tcPr>
          <w:p>
            <w:pPr>
              <w:pStyle w:val="TableText"/>
            </w:pPr>
            <w:r>
              <w:t xml:space="preserve">Jordan</w:t>
            </w:r>
          </w:p>
        </w:tc>
        <w:tc>
          <w:tcPr>
            <w:tcW w:w="2400" w:type="dxa"/>
            <w:shd w:fill="FFFFFF"/>
          </w:tcPr>
          <w:p>
            <w:pPr>
              <w:pStyle w:val="TableText"/>
            </w:pPr>
            <w:r>
              <w:t xml:space="preserve">16 October</w:t>
            </w:r>
          </w:p>
        </w:tc>
      </w:tr>
      <w:tr>
        <w:tc>
          <w:tcPr>
            <w:tcW w:w="5800" w:type="dxa"/>
            <w:shd w:fill="FFFFFF"/>
          </w:tcPr>
          <w:p>
            <w:pPr>
              <w:pStyle w:val="TableText"/>
            </w:pPr>
            <w:r>
              <w:t xml:space="preserve">Prepare print proof pack</w:t>
            </w:r>
          </w:p>
        </w:tc>
        <w:tc>
          <w:tcPr>
            <w:tcW w:w="1880" w:type="dxa"/>
            <w:shd w:fill="FFFFFF"/>
          </w:tcPr>
          <w:p>
            <w:pPr>
              <w:pStyle w:val="TableText"/>
            </w:pPr>
            <w:r>
              <w:t xml:space="preserve">Maya</w:t>
            </w:r>
          </w:p>
        </w:tc>
        <w:tc>
          <w:tcPr>
            <w:tcW w:w="2400" w:type="dxa"/>
            <w:shd w:fill="FFFFFF"/>
          </w:tcPr>
          <w:p>
            <w:pPr>
              <w:pStyle w:val="TableText"/>
            </w:pPr>
            <w:r>
              <w:t xml:space="preserve">21 October</w:t>
            </w:r>
          </w:p>
        </w:tc>
      </w:tr>
      <w:tr>
        <w:tc>
          <w:tcPr>
            <w:tcW w:w="5800" w:type="dxa"/>
            <w:shd w:fill="FFFFFF"/>
          </w:tcPr>
          <w:p>
            <w:pPr>
              <w:pStyle w:val="TableText"/>
            </w:pPr>
            <w:r>
              <w:t xml:space="preserve">Confirm installation access</w:t>
            </w:r>
          </w:p>
        </w:tc>
        <w:tc>
          <w:tcPr>
            <w:tcW w:w="1880" w:type="dxa"/>
            <w:shd w:fill="FFFFFF"/>
          </w:tcPr>
          <w:p>
            <w:pPr>
              <w:pStyle w:val="TableText"/>
            </w:pPr>
            <w:r>
              <w:t xml:space="preserve">Eli</w:t>
            </w:r>
          </w:p>
        </w:tc>
        <w:tc>
          <w:tcPr>
            <w:tcW w:w="2400" w:type="dxa"/>
            <w:shd w:fill="FFFFFF"/>
          </w:tcPr>
          <w:p>
            <w:pPr>
              <w:pStyle w:val="TableText"/>
            </w:pPr>
            <w:r>
              <w:t xml:space="preserve">23 October</w:t>
            </w:r>
          </w:p>
        </w:tc>
      </w:tr>
    </w:tbl>
    <w:p>
      <w:pPr>
        <w:pStyle w:val="Heading1"/>
      </w:pPr>
      <w:r>
        <w:t xml:space="preserve">For the next meeting</w:t>
      </w:r>
    </w:p>
    <w:p>
      <w:pPr>
        <w:pStyle w:val="Normal"/>
        <w:numPr>
          <w:ilvl w:val="0"/>
          <w:numId w:val="1"/>
        </w:numPr>
      </w:pPr>
      <w:r>
        <w:t xml:space="preserve">Review print proofs and approve production quantities.</w:t>
      </w:r>
    </w:p>
    <w:p>
      <w:pPr>
        <w:pStyle w:val="Normal"/>
        <w:numPr>
          <w:ilvl w:val="0"/>
          <w:numId w:val="1"/>
        </w:numPr>
      </w:pPr>
      <w:r>
        <w:t xml:space="preserve">Confirm the staff handoff and launch-day schedule.</w:t>
      </w:r>
    </w:p>
    <w:sectPr>
      <w:footerReference w:type="default" r:id="footer"/>
      <w:pgSz w:w="12240" w:h="15840"/>
      <w:pgMar w:top="1080" w:right="1080" w:bottom="1080" w:left="1080" w:header="540" w:footer="54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5768A"/>
      </w:rPr>
      <w:t>Fieldwork Coffee | Meeting notes  · 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293847"/>
      </w:rPr>
    </w:rPrDefault>
    <w:pPrDefault>
      <w:pPr>
        <w:spacing w:after="140" w:line="27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80" w:after="140"/>
    </w:pPr>
    <w:rPr>
      <w:sz w:val="52"/>
      <w:b/>
    </w:rPr>
  </w:style>
  <w:style w:type="paragraph" w:styleId="Subtitle">
    <w:name w:val="Subtitle"/>
    <w:basedOn w:val="Normal"/>
    <w:pPr>
      <w:spacing w:after="300"/>
    </w:pPr>
    <w:rPr>
      <w:color w:val="5F7083"/>
      <w:sz w:val="22"/>
    </w:rPr>
  </w:style>
  <w:style w:type="paragraph" w:styleId="Heading1">
    <w:name w:val="Heading 1"/>
    <w:basedOn w:val="Normal"/>
    <w:pPr>
      <w:keepNext/>
      <w:outlineLvl w:val="0"/>
      <w:spacing w:before="260" w:after="140"/>
    </w:pPr>
    <w:rPr>
      <w:b/>
      <w:sz w:val="30"/>
      <w:color w:val="24675A"/>
    </w:rPr>
  </w:style>
  <w:style w:type="paragraph" w:styleId="TableText">
    <w:name w:val="Table text"/>
    <w:basedOn w:val="Normal"/>
    <w:pPr>
      <w:spacing w:after="0"/>
    </w:pPr>
    <w:rPr>
      <w:sz w:val="20"/>
    </w:rPr>
  </w:style>
  <w:style w:type="paragraph" w:styleId="TableHeader">
    <w:name w:val="Table header"/>
    <w:basedOn w:val="TableText"/>
    <w:rPr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footer" Type="http://schemas.openxmlformats.org/officeDocument/2006/relationships/footer" Target="footer1.xml"/></Relationships>
</file>