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left"/>
      </w:pPr>
      <w:r>
        <w:rPr>
          <w:rFonts w:ascii="Aptos" w:hAnsi="Aptos" w:eastAsia="Microsoft YaHei"/>
          <w:b/>
          <w:color w:val="17324D"/>
          <w:sz w:val="68"/>
        </w:rPr>
        <w:t>LudoWeave</w:t>
      </w:r>
    </w:p>
    <w:p>
      <w:pPr>
        <w:jc w:val="left"/>
      </w:pPr>
      <w:r>
        <w:rPr>
          <w:rFonts w:ascii="Aptos" w:hAnsi="Aptos" w:eastAsia="Microsoft YaHei"/>
          <w:b/>
          <w:color w:val="0D7C75"/>
          <w:sz w:val="48"/>
        </w:rPr>
        <w:t>游织</w:t>
      </w:r>
    </w:p>
    <w:p>
      <w:pPr>
        <w:pStyle w:val="Title"/>
        <w:jc w:val="left"/>
      </w:pPr>
      <w:r>
        <w:rPr>
          <w:rFonts w:ascii="Aptos" w:hAnsi="Aptos" w:eastAsia="Microsoft YaHei"/>
          <w:b/>
          <w:color w:val="17324D"/>
          <w:sz w:val="52"/>
        </w:rPr>
        <w:t>完整架构与技术设计说明书</w:t>
      </w:r>
    </w:p>
    <w:p>
      <w:pPr>
        <w:pStyle w:val="Subtitle"/>
        <w:jc w:val="left"/>
      </w:pPr>
      <w:r>
        <w:rPr>
          <w:rFonts w:ascii="Aptos" w:hAnsi="Aptos" w:eastAsia="Microsoft YaHei"/>
          <w:color w:val="526779"/>
          <w:sz w:val="26"/>
        </w:rPr>
        <w:t>Code-first, engine-agnostic game UI runtime</w:t>
      </w:r>
    </w:p>
    <w:p>
      <w:pPr>
        <w:spacing w:before="360"/>
      </w:pPr>
      <w:r>
        <w:rPr>
          <w:rFonts w:ascii="Aptos" w:hAnsi="Aptos" w:eastAsia="Microsoft YaHei"/>
          <w:b/>
          <w:color w:val="C7682A"/>
          <w:sz w:val="28"/>
        </w:rPr>
        <w:t>Weave once. Render anywhere.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3D6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FFF3D6"/>
              <w:left w:val="single" w:sz="18" w:color="C7682A"/>
              <w:bottom w:val="single" w:sz="2" w:color="FFF3D6"/>
              <w:right w:val="single" w:sz="2" w:color="FFF3D6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C7682A"/>
                <w:sz w:val="21"/>
              </w:rPr>
              <w:t>架构基线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LudoWeave 作为独立的横向 UI 基础设施维护；Sinan Scene Director 作为第一方设计伙伴、旗舰集成与真实压力测试场。组织上可以联合推进，技术上必须保持 core、发布物和版本治理独立。</w:t>
            </w:r>
          </w:p>
        </w:tc>
      </w:tr>
    </w:tbl>
    <w:p>
      <w:pPr>
        <w:spacing w:after="0"/>
      </w:pPr>
    </w:p>
    <w:p>
      <w:pPr>
        <w:spacing w:before="840"/>
      </w:pPr>
      <w:r>
        <w:rPr>
          <w:rFonts w:ascii="Aptos" w:hAnsi="Aptos" w:eastAsia="Microsoft YaHei"/>
          <w:b/>
          <w:color w:val="17324D"/>
          <w:sz w:val="19"/>
        </w:rPr>
        <w:t>文档版本：</w:t>
      </w:r>
      <w:r>
        <w:rPr>
          <w:rFonts w:ascii="Aptos" w:hAnsi="Aptos" w:eastAsia="Microsoft YaHei"/>
          <w:color w:val="526779"/>
          <w:sz w:val="19"/>
        </w:rPr>
        <w:t>v2.0</w:t>
        <w:br/>
      </w:r>
      <w:r>
        <w:rPr>
          <w:rFonts w:ascii="Aptos" w:hAnsi="Aptos" w:eastAsia="Microsoft YaHei"/>
          <w:b/>
          <w:color w:val="17324D"/>
          <w:sz w:val="19"/>
        </w:rPr>
        <w:t>日期：</w:t>
      </w:r>
      <w:r>
        <w:rPr>
          <w:rFonts w:ascii="Aptos" w:hAnsi="Aptos" w:eastAsia="Microsoft YaHei"/>
          <w:color w:val="526779"/>
          <w:sz w:val="19"/>
        </w:rPr>
        <w:t>2026-06-20</w:t>
        <w:br/>
      </w:r>
      <w:r>
        <w:rPr>
          <w:rFonts w:ascii="Aptos" w:hAnsi="Aptos" w:eastAsia="Microsoft YaHei"/>
          <w:b/>
          <w:color w:val="17324D"/>
          <w:sz w:val="19"/>
        </w:rPr>
        <w:t>状态：</w:t>
      </w:r>
      <w:r>
        <w:rPr>
          <w:rFonts w:ascii="Aptos" w:hAnsi="Aptos" w:eastAsia="Microsoft YaHei"/>
          <w:color w:val="526779"/>
          <w:sz w:val="19"/>
        </w:rPr>
        <w:t>Architecture Baseline / 可进入 RFC 与 MVP 实施</w:t>
        <w:br/>
      </w:r>
      <w:r>
        <w:rPr>
          <w:rFonts w:ascii="Aptos" w:hAnsi="Aptos" w:eastAsia="Microsoft YaHei"/>
          <w:b/>
          <w:color w:val="17324D"/>
          <w:sz w:val="19"/>
        </w:rPr>
        <w:t>主要读者：</w:t>
      </w:r>
      <w:r>
        <w:rPr>
          <w:rFonts w:ascii="Aptos" w:hAnsi="Aptos" w:eastAsia="Microsoft YaHei"/>
          <w:color w:val="526779"/>
          <w:sz w:val="19"/>
        </w:rPr>
        <w:t>框架维护者、游戏/引擎开发者、Sinan 集成负责人、技术决策者</w:t>
        <w:br/>
      </w:r>
    </w:p>
    <w:p>
      <w:pPr>
        <w:pStyle w:val="Small"/>
      </w:pPr>
      <w:r>
        <w:rPr>
          <w:rFonts w:ascii="Aptos" w:hAnsi="Aptos" w:eastAsia="Microsoft YaHei"/>
          <w:color w:val="526779"/>
          <w:sz w:val="17"/>
        </w:rPr>
        <w:t>本文关于 Sinan 的现状、数据边界与协作接口，依据《Sinan Scene Director 项目对外协作介绍》（2026-06-19）整理。</w:t>
      </w:r>
    </w:p>
    <w:p>
      <w:r>
        <w:br w:type="page"/>
      </w:r>
    </w:p>
    <w:p>
      <w:pPr>
        <w:pStyle w:val="Heading1"/>
        <w:pBdr>
          <w:bottom w:val="single" w:sz="10" w:space="4" w:color="0D7C75"/>
        </w:pBdr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13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36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10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主要变化</w:t>
            </w:r>
          </w:p>
        </w:tc>
        <w:tc>
          <w:tcPr>
            <w:tcW w:type="dxa" w:w="141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v1.0</w:t>
            </w:r>
          </w:p>
        </w:tc>
        <w:tc>
          <w:tcPr>
            <w:tcW w:type="dxa" w:w="136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2026-06-18</w:t>
            </w:r>
          </w:p>
        </w:tc>
        <w:tc>
          <w:tcPr>
            <w:tcW w:type="dxa" w:w="51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初始通用游戏 UI 框架方案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历史版本</w:t>
            </w:r>
          </w:p>
        </w:tc>
      </w:tr>
      <w:tr>
        <w:trPr>
          <w:cantSplit/>
        </w:trPr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v1.1</w:t>
            </w:r>
          </w:p>
        </w:tc>
        <w:tc>
          <w:tcPr>
            <w:tcW w:type="dxa" w:w="136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2026-06-18</w:t>
            </w:r>
          </w:p>
        </w:tc>
        <w:tc>
          <w:tcPr>
            <w:tcW w:type="dxa" w:w="510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写入 LudoWeave（游织）品牌与包命名</w:t>
            </w:r>
          </w:p>
        </w:tc>
        <w:tc>
          <w:tcPr>
            <w:tcW w:type="dxa" w:w="141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历史版本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v2.0</w:t>
            </w:r>
          </w:p>
        </w:tc>
        <w:tc>
          <w:tcPr>
            <w:tcW w:type="dxa" w:w="136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2026-06-20</w:t>
            </w:r>
          </w:p>
        </w:tc>
        <w:tc>
          <w:tcPr>
            <w:tcW w:type="dxa" w:w="51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重构为完整架构说明；加入独立战略、Sinan 适配、质量门禁与工程化基线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当前基线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F5F7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F3F5F7"/>
              <w:left w:val="single" w:sz="18" w:color="6B7D8C"/>
              <w:bottom w:val="single" w:sz="2" w:color="F3F5F7"/>
              <w:right w:val="single" w:sz="2" w:color="F3F5F7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6B7D8C"/>
                <w:sz w:val="21"/>
              </w:rPr>
              <w:t>文档性质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本说明书定义目标架构、关键契约和实施边界。标记为“后续”或“可选”的能力不属于 MVP 承诺；性能数字是工程预算和验收目标，不是现有实现声明。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目录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0. 执行摘要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1. 项目定位与战略决策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2. 目标、非目标与成功标准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3. 设计原则与架构约束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4. 总体架构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5. Runtime、生命周期与多 Surface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6. UI IR 与组件模型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7. 状态、Action 与 Effect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8. 布局、样式与响应式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9. 输入、焦点、文本输入与可访问性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10. 渲染后端与能力协商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11. 动画、时间与导演系统边界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12. 资源、字体、本地化与主题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13. 包结构、公共 API 与版本治理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14. 推荐技术栈与工程体系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15. Sinan 第一方集成设计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16. 测试、性能、AI 与质量门禁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17. 安全性、容错与可观测性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18. MVP 路线图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19. 风险清单与架构决策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20. 结论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附录 A：关键接口示例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附录 B：推荐仓库模板</w:t>
      </w:r>
    </w:p>
    <w:p>
      <w:pPr>
        <w:pStyle w:val="ListBullet"/>
        <w:spacing w:after="20"/>
      </w:pPr>
      <w:r>
        <w:rPr>
          <w:rFonts w:ascii="Aptos" w:hAnsi="Aptos" w:eastAsia="Microsoft YaHei"/>
          <w:sz w:val="19"/>
        </w:rPr>
        <w:t>附录 C：参考资料</w:t>
      </w:r>
    </w:p>
    <w:p>
      <w:pPr>
        <w:pStyle w:val="Heading1"/>
        <w:pBdr>
          <w:bottom w:val="single" w:sz="10" w:space="4" w:color="0D7C75"/>
        </w:pBdr>
      </w:pPr>
      <w:r>
        <w:t>0. 执行摘要</w:t>
      </w:r>
    </w:p>
    <w:p>
      <w:pPr>
        <w:pStyle w:val="Lead"/>
      </w:pPr>
      <w:r>
        <w:rPr>
          <w:rFonts w:ascii="Aptos" w:hAnsi="Aptos" w:eastAsia="Microsoft YaHei"/>
          <w:color w:val="17324D"/>
          <w:sz w:val="24"/>
        </w:rPr>
        <w:t>LudoWeave 是一个 TypeScript-first、代码优先、与游戏引擎解耦的声明式 UI runtime。它将组件语义、布局、输入、焦点、动画和渲染后端拆成稳定契约，使同一套 UI 可以运行在 DOM、Canvas2D、WebGL/PixiJS、未来的 WebGPU，以及具体游戏引擎宿主中。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3D6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FFF3D6"/>
              <w:left w:val="single" w:sz="18" w:color="C7682A"/>
              <w:bottom w:val="single" w:sz="2" w:color="FFF3D6"/>
              <w:right w:val="single" w:sz="2" w:color="FFF3D6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C7682A"/>
                <w:sz w:val="21"/>
              </w:rPr>
              <w:t>最终战略决策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LudoWeave 独立维护，不被兼并为 Sinan 的内部 UI 模块；同时把 Sinan 建设为第一方参考宿主。双方通过 @ludoweave/sinan 适配包连接，任何 Sinan/Three.js/React/editor store 专用逻辑都不得进入 core。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决策维度</w:t>
            </w:r>
          </w:p>
        </w:tc>
        <w:tc>
          <w:tcPr>
            <w:tcW w:type="dxa" w:w="300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基线选择</w:t>
            </w:r>
          </w:p>
        </w:tc>
        <w:tc>
          <w:tcPr>
            <w:tcW w:type="dxa" w:w="481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产品形态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独立横向基础设施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保留跨引擎生态价值，避免退化为 SinanEditorUI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首要宿主</w:t>
            </w:r>
          </w:p>
        </w:tc>
        <w:tc>
          <w:tcPr>
            <w:tcW w:type="dxa" w:w="300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浏览器 + Sinan Gate Demo</w:t>
            </w:r>
          </w:p>
        </w:tc>
        <w:tc>
          <w:tcPr>
            <w:tcW w:type="dxa" w:w="481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同时获得独立验证和真实复杂业务压力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核心语言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TypeScript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Web 原生、强类型、可重构、对 AI 与工具链友好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MVP 渲染</w:t>
            </w:r>
          </w:p>
        </w:tc>
        <w:tc>
          <w:tcPr>
            <w:tcW w:type="dxa" w:w="300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Headless + DOM + Canvas2D</w:t>
            </w:r>
          </w:p>
        </w:tc>
        <w:tc>
          <w:tcPr>
            <w:tcW w:type="dxa" w:w="481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先覆盖可测试性、可访问性与常见游戏 HUD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高性能后端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PixiJS/WebGL adapter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避免过早自研 GPU renderer；后端不污染 core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WebGPU</w:t>
            </w:r>
          </w:p>
        </w:tc>
        <w:tc>
          <w:tcPr>
            <w:tcW w:type="dxa" w:w="300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后续增强</w:t>
            </w:r>
          </w:p>
        </w:tc>
        <w:tc>
          <w:tcPr>
            <w:tcW w:type="dxa" w:w="481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采用能力检测和 fallback，不作为唯一生产路径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布局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自研确定性游戏 UI 子集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不复制完整 CSS；接口为未来 Taffy/WASM adapter 留边界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编辑体验</w:t>
            </w:r>
          </w:p>
        </w:tc>
        <w:tc>
          <w:tcPr>
            <w:tcW w:type="dxa" w:w="300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代码 + Playground + Inspector</w:t>
            </w:r>
          </w:p>
        </w:tc>
        <w:tc>
          <w:tcPr>
            <w:tcW w:type="dxa" w:w="481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不建设拖拽式事实源；可视化工具只观察和调试代码结果</w:t>
            </w:r>
          </w:p>
        </w:tc>
      </w:tr>
    </w:tbl>
    <w:p>
      <w:pPr>
        <w:spacing w:after="0"/>
      </w:pP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LudoWeave 的事实源：</w:t>
      </w:r>
      <w:r>
        <w:rPr>
          <w:rFonts w:ascii="Aptos" w:hAnsi="Aptos" w:eastAsia="Microsoft YaHei"/>
        </w:rPr>
        <w:t>应用 Model、组件代码、主题 token 与可选 manifest；渲染器对象和编辑器树不是事实源。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业务数据流：</w:t>
      </w:r>
      <w:r>
        <w:rPr>
          <w:rFonts w:ascii="Aptos" w:hAnsi="Aptos" w:eastAsia="Microsoft YaHei"/>
        </w:rPr>
        <w:t>ViewModel → 纯 view 函数 → UiNode IR → Resolve/Layout → Frame → Renderer。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交互数据流：</w:t>
      </w:r>
      <w:r>
        <w:rPr>
          <w:rFonts w:ascii="Aptos" w:hAnsi="Aptos" w:eastAsia="Microsoft YaHei"/>
        </w:rPr>
        <w:t>Input → Hit Test/Focus/Behavior → ActionRef → 应用 update → EffectExecutor。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状态边界：</w:t>
      </w:r>
      <w:r>
        <w:rPr>
          <w:rFonts w:ascii="Aptos" w:hAnsi="Aptos" w:eastAsia="Microsoft YaHei"/>
        </w:rPr>
        <w:t>业务状态由宿主拥有；hover、pressed、focus、pointer capture、滚动偏移和动画进度等瞬态状态由 runtime 管理。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Sinan 边界：</w:t>
      </w:r>
      <w:r>
        <w:rPr>
          <w:rFonts w:ascii="Aptos" w:hAnsi="Aptos" w:eastAsia="Microsoft YaHei"/>
        </w:rPr>
        <w:t>Sinan 保留项目 JSON、schema、Timeline、Camera Shot、command、undo/redo、dirty 与 save；LudoWeave 只消费 ViewModel 并发出 Action。</w:t>
      </w:r>
    </w:p>
    <w:p>
      <w:pPr>
        <w:pStyle w:val="Heading1"/>
        <w:pBdr>
          <w:bottom w:val="single" w:sz="10" w:space="4" w:color="0D7C75"/>
        </w:pBdr>
      </w:pPr>
      <w:r>
        <w:t>1. 项目定位与战略决策</w:t>
      </w:r>
    </w:p>
    <w:p>
      <w:pPr>
        <w:pStyle w:val="Heading2"/>
      </w:pPr>
      <w:r>
        <w:t>1.1 项目定义</w:t>
      </w:r>
    </w:p>
    <w:p>
      <w:r>
        <w:rPr>
          <w:rFonts w:ascii="Aptos" w:hAnsi="Aptos" w:eastAsia="Microsoft YaHei"/>
        </w:rPr>
        <w:t>LudoWeave 的技术描述是“Engine-agnostic declarative game UI runtime”。它不是 Web 页面组件库，也不是某个游戏引擎的节点封装。它提供一个稳定的 UI 中间表示和运行时，将 UI 的表达方式与最终绘制方式分离。</w:t>
      </w:r>
    </w:p>
    <w:p>
      <w:pPr>
        <w:spacing w:after="60"/>
      </w:pPr>
      <w:r>
        <w:rPr>
          <w:rFonts w:ascii="Aptos" w:hAnsi="Aptos" w:eastAsia="Microsoft YaHei"/>
          <w:b/>
          <w:color w:val="17324D"/>
        </w:rPr>
        <w:t>英文名称：</w:t>
      </w:r>
      <w:r>
        <w:rPr>
          <w:rFonts w:ascii="Aptos" w:hAnsi="Aptos" w:eastAsia="Microsoft YaHei"/>
        </w:rPr>
        <w:t>LudoWeave</w:t>
      </w:r>
    </w:p>
    <w:p>
      <w:pPr>
        <w:spacing w:after="60"/>
      </w:pPr>
      <w:r>
        <w:rPr>
          <w:rFonts w:ascii="Aptos" w:hAnsi="Aptos" w:eastAsia="Microsoft YaHei"/>
          <w:b/>
          <w:color w:val="17324D"/>
        </w:rPr>
        <w:t>中文名称：</w:t>
      </w:r>
      <w:r>
        <w:rPr>
          <w:rFonts w:ascii="Aptos" w:hAnsi="Aptos" w:eastAsia="Microsoft YaHei"/>
        </w:rPr>
        <w:t>游织</w:t>
      </w:r>
    </w:p>
    <w:p>
      <w:pPr>
        <w:spacing w:after="60"/>
      </w:pPr>
      <w:r>
        <w:rPr>
          <w:rFonts w:ascii="Aptos" w:hAnsi="Aptos" w:eastAsia="Microsoft YaHei"/>
          <w:b/>
          <w:color w:val="17324D"/>
        </w:rPr>
        <w:t>主标语：</w:t>
      </w:r>
      <w:r>
        <w:rPr>
          <w:rFonts w:ascii="Aptos" w:hAnsi="Aptos" w:eastAsia="Microsoft YaHei"/>
        </w:rPr>
        <w:t>Weave once. Render anywhere.</w:t>
      </w:r>
    </w:p>
    <w:p>
      <w:pPr>
        <w:spacing w:after="60"/>
      </w:pPr>
      <w:r>
        <w:rPr>
          <w:rFonts w:ascii="Aptos" w:hAnsi="Aptos" w:eastAsia="Microsoft YaHei"/>
          <w:b/>
          <w:color w:val="17324D"/>
        </w:rPr>
        <w:t>npm scope：</w:t>
      </w:r>
      <w:r>
        <w:rPr>
          <w:rFonts w:ascii="Aptos" w:hAnsi="Aptos" w:eastAsia="Microsoft YaHei"/>
        </w:rPr>
        <w:t>@ludoweave</w:t>
      </w:r>
    </w:p>
    <w:p>
      <w:pPr>
        <w:spacing w:after="60"/>
      </w:pPr>
      <w:r>
        <w:rPr>
          <w:rFonts w:ascii="Aptos" w:hAnsi="Aptos" w:eastAsia="Microsoft YaHei"/>
          <w:b/>
          <w:color w:val="17324D"/>
        </w:rPr>
        <w:t>核心价值：</w:t>
      </w:r>
      <w:r>
        <w:rPr>
          <w:rFonts w:ascii="Aptos" w:hAnsi="Aptos" w:eastAsia="Microsoft YaHei"/>
        </w:rPr>
        <w:t>可读、可测、可移植、可由 AI 安全修改</w:t>
      </w:r>
    </w:p>
    <w:p>
      <w:pPr>
        <w:pStyle w:val="Heading2"/>
      </w:pPr>
      <w:r>
        <w:t>1.2 独立、兼并与深度合作的比较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94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短期收益</w:t>
            </w:r>
          </w:p>
        </w:tc>
        <w:tc>
          <w:tcPr>
            <w:tcW w:type="dxa" w:w="396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长期代价</w:t>
            </w:r>
          </w:p>
        </w:tc>
        <w:tc>
          <w:tcPr>
            <w:tcW w:type="dxa" w:w="141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完全独立且不合作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边界最纯；路线完全自主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缺乏复杂真实宿主，容易过度抽象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不推荐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并入 Sinan 内部</w:t>
            </w:r>
          </w:p>
        </w:tc>
        <w:tc>
          <w:tcPr>
            <w:tcW w:type="dxa" w:w="294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需求明确；决策快；集成成本低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核心被 React/Three/Sinan store 污染，失去跨引擎价值</w:t>
            </w:r>
          </w:p>
        </w:tc>
        <w:tc>
          <w:tcPr>
            <w:tcW w:type="dxa" w:w="141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不推荐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独立维护 + 第一方深度集成</w:t>
            </w:r>
          </w:p>
        </w:tc>
        <w:tc>
          <w:tcPr>
            <w:tcW w:type="dxa" w:w="29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真实压力测试与生态价值兼得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需要维护适配契约、版本矩阵和联合测试</w:t>
            </w:r>
          </w:p>
        </w:tc>
        <w:tc>
          <w:tcPr>
            <w:tcW w:type="dxa" w:w="141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推荐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254869"/>
            <wp:docPr id="1" name="Picture 1" descr="图 1：LudoWeave 与 Sinan 的推荐关系——技术独立、产品协作。" title="图 1：LudoWeave 与 Sinan 的推荐关系——技术独立、产品协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relationsh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4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i/>
          <w:color w:val="526779"/>
          <w:sz w:val="17"/>
        </w:rPr>
        <w:t>图 1：LudoWeave 与 Sinan 的推荐关系——技术独立、产品协作。</w:t>
      </w:r>
    </w:p>
    <w:p>
      <w:pPr>
        <w:pStyle w:val="Heading2"/>
      </w:pPr>
      <w:r>
        <w:t>1.3 为什么 Sinan 是高价值参考宿主</w:t>
      </w:r>
    </w:p>
    <w:p>
      <w:r>
        <w:rPr>
          <w:rFonts w:ascii="Aptos" w:hAnsi="Aptos" w:eastAsia="Microsoft YaHei"/>
        </w:rPr>
        <w:t>Sinan 已具备数据优先的 JSON 事实源、TypeScript/Zod schema、Timeline、Camera Shot、事件 registry、React 编辑器、Three.js runtime adapter、Gate Demo 与自动化验证，因此既不是空白 demo，也尚未大到接口完全冻结。它适合验证 LudoWeave 是否真的能够接入真实 command/save/undo、runtime input、字幕、HUD 与导演流程，而不接管业务事实源。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可验证性：</w:t>
      </w:r>
      <w:r>
        <w:rPr>
          <w:rFonts w:ascii="Aptos" w:hAnsi="Aptos" w:eastAsia="Microsoft YaHei"/>
        </w:rPr>
        <w:t>Sinan 已有 data validation、migration check、import boundary 与 Playwright smoke，可共同形成 contract tests。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边界相容：</w:t>
      </w:r>
      <w:r>
        <w:rPr>
          <w:rFonts w:ascii="Aptos" w:hAnsi="Aptos" w:eastAsia="Microsoft YaHei"/>
        </w:rPr>
        <w:t>Sinan 已把 Three.js 限制在 runtime adapter，理念上与 LudoWeave 的 renderer/host adapter 一致。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真实用例：</w:t>
      </w:r>
      <w:r>
        <w:rPr>
          <w:rFonts w:ascii="Aptos" w:hAnsi="Aptos" w:eastAsia="Microsoft YaHei"/>
        </w:rPr>
        <w:t>Gate Demo 同时包含交互提示、字幕、Timeline、音频、门与镜头，是高价值 UI 集成样例。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主要风险：</w:t>
      </w:r>
      <w:r>
        <w:rPr>
          <w:rFonts w:ascii="Aptos" w:hAnsi="Aptos" w:eastAsia="Microsoft YaHei"/>
        </w:rPr>
        <w:t>Sinan 的范围较广，LudoWeave 必须避免被其 editor store、Three.js 对象和项目 schema 反向定义。</w:t>
      </w:r>
    </w:p>
    <w:p>
      <w:pPr>
        <w:pStyle w:val="Heading1"/>
        <w:pBdr>
          <w:bottom w:val="single" w:sz="10" w:space="4" w:color="0D7C75"/>
        </w:pBdr>
      </w:pPr>
      <w:r>
        <w:t>2. 目标、非目标与成功标准</w:t>
      </w:r>
    </w:p>
    <w:p>
      <w:pPr>
        <w:pStyle w:val="Heading2"/>
      </w:pPr>
      <w:r>
        <w:t>2.1 设计目标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引擎解耦：</w:t>
      </w:r>
      <w:r>
        <w:rPr>
          <w:rFonts w:ascii="Aptos" w:hAnsi="Aptos" w:eastAsia="Microsoft YaHei"/>
        </w:rPr>
        <w:t>core 的类型和实现不依赖 React、Three.js、PixiJS、Phaser、Cocos、Unity 或 Sinan。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代码优先：</w:t>
      </w:r>
      <w:r>
        <w:rPr>
          <w:rFonts w:ascii="Aptos" w:hAnsi="Aptos" w:eastAsia="Microsoft YaHei"/>
        </w:rPr>
        <w:t>组件、主题、交互、故事和测试主要由 TypeScript 表达；编辑器不成为隐藏事实源。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跨后端一致：</w:t>
      </w:r>
      <w:r>
        <w:rPr>
          <w:rFonts w:ascii="Aptos" w:hAnsi="Aptos" w:eastAsia="Microsoft YaHei"/>
        </w:rPr>
        <w:t>布局、命中测试、焦点和 action 语义在 Headless、DOM、Canvas 与 GPU 后端中保持一致。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AI 友好：</w:t>
      </w:r>
      <w:r>
        <w:rPr>
          <w:rFonts w:ascii="Aptos" w:hAnsi="Aptos" w:eastAsia="Microsoft YaHei"/>
        </w:rPr>
        <w:t>公共 API 低魔法、强类型、命名稳定，可通过快照、action log、contract tests 自动验证。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Web 一等公民：</w:t>
      </w:r>
      <w:r>
        <w:rPr>
          <w:rFonts w:ascii="Aptos" w:hAnsi="Aptos" w:eastAsia="Microsoft YaHei"/>
        </w:rPr>
        <w:t>支持浏览器 resize、DPR、安全区、Pointer Events、IME、可访问性和混合 DOM/Canvas surface。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性能可预算：</w:t>
      </w:r>
      <w:r>
        <w:rPr>
          <w:rFonts w:ascii="Aptos" w:hAnsi="Aptos" w:eastAsia="Microsoft YaHei"/>
        </w:rPr>
        <w:t>采用 dirty flags、缓存、批处理、虚拟列表和明确性能基准，而不是依赖“应该够快”。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可渐进增强：</w:t>
      </w:r>
      <w:r>
        <w:rPr>
          <w:rFonts w:ascii="Aptos" w:hAnsi="Aptos" w:eastAsia="Microsoft YaHei"/>
        </w:rPr>
        <w:t>WebGPU、Worker、Taffy/WASM 和引擎后端作为可选 adapter，不成为早期硬依赖。</w:t>
      </w:r>
    </w:p>
    <w:p>
      <w:pPr>
        <w:pStyle w:val="Heading2"/>
      </w:pPr>
      <w:r>
        <w:t>2.2 非目标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不复制完整 CSS、浏览器排版与全部 Web 组件生态。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不在 MVP 内实现可视化拖拽 UI 编辑器、复杂 shader editor 或完整动画 sequencer。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不接管游戏世界状态、ECS、网络同步、物理、AI 或场景图。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不把 React hooks、Vue reactivity 或任意引擎节点作为公共 API。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不保证所有 renderer 像素级完全一致；保证的是布局契约、交互语义和可接受的视觉容差。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不允许把任意 HTML 或脚本字符串直接注入节点。</w:t>
      </w:r>
    </w:p>
    <w:p>
      <w:pPr>
        <w:pStyle w:val="Heading2"/>
      </w:pPr>
      <w:r>
        <w:t>2.3 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20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v1 成功条件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独立性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同一组件在 Standalone Playground、Sinan Gate Demo 和至少一个非 Sinan 宿主中复用；core import graph 无宿主依赖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可用性</w:t>
            </w:r>
          </w:p>
        </w:tc>
        <w:tc>
          <w:tcPr>
            <w:tcW w:type="dxa" w:w="720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能够实现主菜单、设置页、暂停菜单、Battle HUD、字幕、交互提示、背包基础视图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输入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鼠标、触摸、键盘、手柄确认/方向导航统一触发 Action；文本输入使用原生 IME 路径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可访问性</w:t>
            </w:r>
          </w:p>
        </w:tc>
        <w:tc>
          <w:tcPr>
            <w:tcW w:type="dxa" w:w="720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DOM renderer 具有正确语义和键盘行为；Canvas/GPU 提供 accessibility overlay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测试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所有 primitives/behaviors 有 headless 与 browser tests；所有 renderer 通过 conformance suite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工程</w:t>
            </w:r>
          </w:p>
        </w:tc>
        <w:tc>
          <w:tcPr>
            <w:tcW w:type="dxa" w:w="720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ESM 包可正确发布，类型声明稳定，API report、bundle budget、Playwright smoke 全部通过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AI</w:t>
            </w:r>
          </w:p>
        </w:tc>
        <w:tc>
          <w:tcPr>
            <w:tcW w:type="dxa" w:w="72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给定组件修改任务时，agent 能通过类型、fixture 和 action log 定位影响并自动验证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3. 设计原则与架构约束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04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686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具体约束</w:t>
            </w:r>
          </w:p>
        </w:tc>
      </w:tr>
      <w:tr>
        <w:trPr>
          <w:cantSplit/>
        </w:trPr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Headless first</w:t>
            </w:r>
          </w:p>
        </w:tc>
        <w:tc>
          <w:tcPr>
            <w:tcW w:type="dxa" w:w="68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核心只产生结构、语义、布局和绘制描述；不创建 DOM 或 GPU 对象。</w:t>
            </w:r>
          </w:p>
        </w:tc>
      </w:tr>
      <w:tr>
        <w:trPr>
          <w:cantSplit/>
        </w:trPr>
        <w:tc>
          <w:tcPr>
            <w:tcW w:type="dxa" w:w="204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Single source of truth</w:t>
            </w:r>
          </w:p>
        </w:tc>
        <w:tc>
          <w:tcPr>
            <w:tcW w:type="dxa" w:w="686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业务 Model 和代码是事实源；renderer cache、DOM tree、PIXI.Container 只是派生物。</w:t>
            </w:r>
          </w:p>
        </w:tc>
      </w:tr>
      <w:tr>
        <w:trPr>
          <w:cantSplit/>
        </w:trPr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Unidirectional data flow</w:t>
            </w:r>
          </w:p>
        </w:tc>
        <w:tc>
          <w:tcPr>
            <w:tcW w:type="dxa" w:w="68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UI 发出 Action；应用 update 决定新 Model 和 Effect；组件不直接改游戏对象。</w:t>
            </w:r>
          </w:p>
        </w:tc>
      </w:tr>
      <w:tr>
        <w:trPr>
          <w:cantSplit/>
        </w:trPr>
        <w:tc>
          <w:tcPr>
            <w:tcW w:type="dxa" w:w="204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Deterministic by default</w:t>
            </w:r>
          </w:p>
        </w:tc>
        <w:tc>
          <w:tcPr>
            <w:tcW w:type="dxa" w:w="686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可注入时钟、固定 viewport、稳定 key、确定性文本测量 fixture；测试可重放。</w:t>
            </w:r>
          </w:p>
        </w:tc>
      </w:tr>
      <w:tr>
        <w:trPr>
          <w:cantSplit/>
        </w:trPr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Capability-based adapters</w:t>
            </w:r>
          </w:p>
        </w:tc>
        <w:tc>
          <w:tcPr>
            <w:tcW w:type="dxa" w:w="68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Host 和 Renderer 由小接口组合，并显式声明能力与降级路径。</w:t>
            </w:r>
          </w:p>
        </w:tc>
      </w:tr>
      <w:tr>
        <w:trPr>
          <w:cantSplit/>
        </w:trPr>
        <w:tc>
          <w:tcPr>
            <w:tcW w:type="dxa" w:w="204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Semantic before pixels</w:t>
            </w:r>
          </w:p>
        </w:tc>
        <w:tc>
          <w:tcPr>
            <w:tcW w:type="dxa" w:w="686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Button/Dialog/List 等语义先于皮肤；A11y tree 与 paint list 同源。</w:t>
            </w:r>
          </w:p>
        </w:tc>
      </w:tr>
      <w:tr>
        <w:trPr>
          <w:cantSplit/>
        </w:trPr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No hidden magic</w:t>
            </w:r>
          </w:p>
        </w:tc>
        <w:tc>
          <w:tcPr>
            <w:tcW w:type="dxa" w:w="68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不使用装饰器扫描、全局隐式注册、字符串脚本或不可见编辑器绑定。</w:t>
            </w:r>
          </w:p>
        </w:tc>
      </w:tr>
      <w:tr>
        <w:trPr>
          <w:cantSplit/>
        </w:trPr>
        <w:tc>
          <w:tcPr>
            <w:tcW w:type="dxa" w:w="204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Pay for what you use</w:t>
            </w:r>
          </w:p>
        </w:tc>
        <w:tc>
          <w:tcPr>
            <w:tcW w:type="dxa" w:w="686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渲染器、schema、React bridge、WebGPU 和引擎 adapter 按包安装。</w:t>
            </w:r>
          </w:p>
        </w:tc>
      </w:tr>
      <w:tr>
        <w:trPr>
          <w:cantSplit/>
        </w:trPr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Boundary as test</w:t>
            </w:r>
          </w:p>
        </w:tc>
        <w:tc>
          <w:tcPr>
            <w:tcW w:type="dxa" w:w="68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依赖规则、序列化规则、renderer conformance 和 action flow 均进入 CI。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DF2EF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DDF2EF"/>
              <w:left w:val="single" w:sz="18" w:color="0D7C75"/>
              <w:bottom w:val="single" w:sz="2" w:color="DDF2EF"/>
              <w:right w:val="single" w:sz="2" w:color="DDF2EF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0D7C75"/>
                <w:sz w:val="21"/>
              </w:rPr>
              <w:t>最重要的依赖规则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core 可以定义 renderer contract，但绝不能 import renderer 实现；专用 adapter 可以同时依赖 LudoWeave 与宿主，宿主类型不得穿透 adapter 进入 UiNode、Layout 或 RenderCommand。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4. 总体架构</w:t>
      </w:r>
    </w:p>
    <w:p>
      <w:pPr>
        <w:pStyle w:val="Heading2"/>
      </w:pPr>
      <w:r>
        <w:t>4.1 分层模型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254869"/>
            <wp:docPr id="2" name="Picture 2" descr="图 2：从业务 ViewModel 到 ResolvedUiFrame，再到不同 renderer 的确定性数据流。" title="图 2：从业务 ViewModel 到 ResolvedUiFrame，再到不同 renderer 的确定性数据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4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i/>
          <w:color w:val="526779"/>
          <w:sz w:val="17"/>
        </w:rPr>
        <w:t>图 2：从业务 ViewModel 到 ResolvedUiFrame，再到不同 renderer 的确定性数据流。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74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45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应用/宿主层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业务 Model、update、Effect 执行、导航、游戏 command、持久化</w:t>
            </w:r>
          </w:p>
        </w:tc>
        <w:tc>
          <w:tcPr>
            <w:tcW w:type="dxa" w:w="345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把引擎对象传入通用组件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组件层</w:t>
            </w:r>
          </w:p>
        </w:tc>
        <w:tc>
          <w:tcPr>
            <w:tcW w:type="dxa" w:w="374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纯函数组件、primitives、behaviors、复合游戏组件</w:t>
            </w:r>
          </w:p>
        </w:tc>
        <w:tc>
          <w:tcPr>
            <w:tcW w:type="dxa" w:w="345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直接访问 DOM、Canvas、PIXI 或 editor store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Core Runtime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reconcile、瞬态状态、事件、focus、style resolve、scheduler</w:t>
            </w:r>
          </w:p>
        </w:tc>
        <w:tc>
          <w:tcPr>
            <w:tcW w:type="dxa" w:w="345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执行网络、音频、保存等副作用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Layout/Animation</w:t>
            </w:r>
          </w:p>
        </w:tc>
        <w:tc>
          <w:tcPr>
            <w:tcW w:type="dxa" w:w="374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测量、约束、布局、插值、dirty propagation</w:t>
            </w:r>
          </w:p>
        </w:tc>
        <w:tc>
          <w:tcPr>
            <w:tcW w:type="dxa" w:w="345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依赖具体 renderer 的尺寸或对象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Resolved Frame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layout nodes、paint list、semantic tree、diagnostics</w:t>
            </w:r>
          </w:p>
        </w:tc>
        <w:tc>
          <w:tcPr>
            <w:tcW w:type="dxa" w:w="345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包含业务实体或可变 renderer handle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Renderer/Host</w:t>
            </w:r>
          </w:p>
        </w:tc>
        <w:tc>
          <w:tcPr>
            <w:tcW w:type="dxa" w:w="374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绘制、平台能力、资产句柄、原生输入与文本输入</w:t>
            </w:r>
          </w:p>
        </w:tc>
        <w:tc>
          <w:tcPr>
            <w:tcW w:type="dxa" w:w="345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反向修改应用 Model</w:t>
            </w:r>
          </w:p>
        </w:tc>
      </w:tr>
    </w:tbl>
    <w:p>
      <w:pPr>
        <w:spacing w:after="0"/>
      </w:pPr>
    </w:p>
    <w:p>
      <w:pPr>
        <w:pStyle w:val="Heading2"/>
      </w:pPr>
      <w:r>
        <w:t>4.2 ResolvedUiFrame 作为渲染边界</w:t>
      </w:r>
    </w:p>
    <w:p>
      <w:r>
        <w:rPr>
          <w:rFonts w:ascii="Aptos" w:hAnsi="Aptos" w:eastAsia="Microsoft YaHei"/>
        </w:rPr>
        <w:t>只输出平面 RenderCommand 对 Canvas 很自然，但 DOM 与可访问性还需要节点身份和语义树。因此 v2 架构把 renderer 输入定义为 ResolvedUiFrame：同一帧同时包含布局节点、绘制列表、语义节点、viewport 信息和可选 dirty regions。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核心渲染边界（示意）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interface ResolvedUiFrame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frameId: number;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viewport: ResolvedViewport;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nodes: readonly ResolvedNode[];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paint: readonly RenderCommand[];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semantics: readonly SemanticNode[];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dirtyRegions?: readonly Rect[];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diagnostics: readonly UiDiagnostic[];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DOM renderer：</w:t>
      </w:r>
      <w:r>
        <w:rPr>
          <w:rFonts w:ascii="Aptos" w:hAnsi="Aptos" w:eastAsia="Microsoft YaHei"/>
        </w:rPr>
        <w:t>利用 nodes + semantics 创建真实元素，并应用 core 计算出的 box，而不是让 CSS 重新决定主布局。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Canvas/GPU renderer：</w:t>
      </w:r>
      <w:r>
        <w:rPr>
          <w:rFonts w:ascii="Aptos" w:hAnsi="Aptos" w:eastAsia="Microsoft YaHei"/>
        </w:rPr>
        <w:t>主要消费 paint list，同时使用 nodes 做命中调试、脏区和可视化焦点。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Headless renderer：</w:t>
      </w:r>
      <w:r>
        <w:rPr>
          <w:rFonts w:ascii="Aptos" w:hAnsi="Aptos" w:eastAsia="Microsoft YaHei"/>
        </w:rPr>
        <w:t>不画图，输出 frame snapshot，用于布局、语义和 action 测试。</w:t>
      </w:r>
    </w:p>
    <w:p>
      <w:pPr>
        <w:pStyle w:val="Heading2"/>
      </w:pPr>
      <w:r>
        <w:t>4.3 能力协商与确定性降级</w:t>
      </w:r>
    </w:p>
    <w:p>
      <w:r>
        <w:rPr>
          <w:rFonts w:ascii="Aptos" w:hAnsi="Aptos" w:eastAsia="Microsoft YaHei"/>
        </w:rPr>
        <w:t>RendererAdapter 在 mount 时暴露 RendererCapabilities。组件或 style resolver 不直接判断“是不是 WebGPU”，而是声明需要的能力；core 根据 policy 选择原生实现、近似实现或明确 fallback。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633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生产级 fallback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blur / advanced filters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禁用或退化为半透明遮罩，不影响交互语义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native text input</w:t>
            </w:r>
          </w:p>
        </w:tc>
        <w:tc>
          <w:tcPr>
            <w:tcW w:type="dxa" w:w="6633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Canvas/GPU 创建 DOM input overlay；无 DOM 宿主则报告 capability error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complex clip path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退化到矩形 clip 或离屏纹理，取决于后端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subpixel text</w:t>
            </w:r>
          </w:p>
        </w:tc>
        <w:tc>
          <w:tcPr>
            <w:tcW w:type="dxa" w:w="6633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采用 renderer 允许的 snapping policy；布局逻辑尺寸保持不变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WebGPU unavailable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回退 WebGL/Pixi 或 Canvas2D，不改变组件 API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5. Runtime、生命周期与多 Surface</w:t>
      </w:r>
    </w:p>
    <w:p>
      <w:pPr>
        <w:pStyle w:val="Heading2"/>
      </w:pPr>
      <w:r>
        <w:t>5.1 帧循环</w:t>
      </w:r>
    </w:p>
    <w:p>
      <w:pPr>
        <w:pStyle w:val="ListNumber"/>
      </w:pPr>
      <w:r>
        <w:rPr>
          <w:rFonts w:ascii="Aptos" w:hAnsi="Aptos" w:eastAsia="Microsoft YaHei"/>
        </w:rPr>
        <w:t>Host 收集并时间戳化 pointer、keyboard、gamepad、wheel、text/composition 输入。</w:t>
      </w:r>
    </w:p>
    <w:p>
      <w:pPr>
        <w:pStyle w:val="ListNumber"/>
      </w:pPr>
      <w:r>
        <w:rPr>
          <w:rFonts w:ascii="Aptos" w:hAnsi="Aptos" w:eastAsia="Microsoft YaHei"/>
        </w:rPr>
        <w:t>Core 将原生事件归一化，按照 capture → target → bubble 分派给 behavior。</w:t>
      </w:r>
    </w:p>
    <w:p>
      <w:pPr>
        <w:pStyle w:val="ListNumber"/>
      </w:pPr>
      <w:r>
        <w:rPr>
          <w:rFonts w:ascii="Aptos" w:hAnsi="Aptos" w:eastAsia="Microsoft YaHei"/>
        </w:rPr>
        <w:t>Behavior 更新瞬态状态并发出 ActionRef；应用 update 产生新 Model 与 Effect。</w:t>
      </w:r>
    </w:p>
    <w:p>
      <w:pPr>
        <w:pStyle w:val="ListNumber"/>
      </w:pPr>
      <w:r>
        <w:rPr>
          <w:rFonts w:ascii="Aptos" w:hAnsi="Aptos" w:eastAsia="Microsoft YaHei"/>
        </w:rPr>
        <w:t>当业务 Model、theme、viewport 或结构 dirty 时，重新执行 view(model) 并 reconcile。</w:t>
      </w:r>
    </w:p>
    <w:p>
      <w:pPr>
        <w:pStyle w:val="ListNumber"/>
      </w:pPr>
      <w:r>
        <w:rPr>
          <w:rFonts w:ascii="Aptos" w:hAnsi="Aptos" w:eastAsia="Microsoft YaHei"/>
        </w:rPr>
        <w:t>解析 token 与状态样式，执行测量和布局；仅在 dirty subtree 上工作。</w:t>
      </w:r>
    </w:p>
    <w:p>
      <w:pPr>
        <w:pStyle w:val="ListNumber"/>
      </w:pPr>
      <w:r>
        <w:rPr>
          <w:rFonts w:ascii="Aptos" w:hAnsi="Aptos" w:eastAsia="Microsoft YaHei"/>
        </w:rPr>
        <w:t>以 Host clock 推进动画，生成 ResolvedUiFrame。</w:t>
      </w:r>
    </w:p>
    <w:p>
      <w:pPr>
        <w:pStyle w:val="ListNumber"/>
      </w:pPr>
      <w:r>
        <w:rPr>
          <w:rFonts w:ascii="Aptos" w:hAnsi="Aptos" w:eastAsia="Microsoft YaHei"/>
        </w:rPr>
        <w:t>Renderer 提交本帧；EffectExecutor 在明确阶段执行声音、导航、游戏 command 等副作用。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帧循环（概念性伪代码）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function tick(now: number): void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input.flushTo(runtime);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const emitted = runtime.processInput();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app.commit(emitted);               // update model + collect effects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runtime.reconcileIfNeeded(app.view(app.model));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runtime.resolveAndLayoutIfNeeded(host.viewport.current());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runtime.advanceAnimations(now);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renderer.render(runtime.buildFrame());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effects.execute(app.takeEffects());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5.2 状态分类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状态类别</w:t>
            </w:r>
          </w:p>
        </w:tc>
        <w:tc>
          <w:tcPr>
            <w:tcW w:type="dxa" w:w="187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所有者</w:t>
            </w:r>
          </w:p>
        </w:tc>
        <w:tc>
          <w:tcPr>
            <w:tcW w:type="dxa" w:w="379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153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持久化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领域/游戏状态</w:t>
            </w:r>
          </w:p>
        </w:tc>
        <w:tc>
          <w:tcPr>
            <w:tcW w:type="dxa" w:w="187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宿主应用</w:t>
            </w:r>
          </w:p>
        </w:tc>
        <w:tc>
          <w:tcPr>
            <w:tcW w:type="dxa" w:w="379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HP、物品、任务、当前对话</w:t>
            </w:r>
          </w:p>
        </w:tc>
        <w:tc>
          <w:tcPr>
            <w:tcW w:type="dxa" w:w="15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由游戏决定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UI 业务状态</w:t>
            </w:r>
          </w:p>
        </w:tc>
        <w:tc>
          <w:tcPr>
            <w:tcW w:type="dxa" w:w="187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UiApp Model 或宿主</w:t>
            </w:r>
          </w:p>
        </w:tc>
        <w:tc>
          <w:tcPr>
            <w:tcW w:type="dxa" w:w="379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当前页面、选中项、设置值</w:t>
            </w:r>
          </w:p>
        </w:tc>
        <w:tc>
          <w:tcPr>
            <w:tcW w:type="dxa" w:w="153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按产品需要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瞬态交互状态</w:t>
            </w:r>
          </w:p>
        </w:tc>
        <w:tc>
          <w:tcPr>
            <w:tcW w:type="dxa" w:w="187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Core Runtime</w:t>
            </w:r>
          </w:p>
        </w:tc>
        <w:tc>
          <w:tcPr>
            <w:tcW w:type="dxa" w:w="379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hover、pressed、focus、drag、pointer capture</w:t>
            </w:r>
          </w:p>
        </w:tc>
        <w:tc>
          <w:tcPr>
            <w:tcW w:type="dxa" w:w="15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默认不持久化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视觉动画状态</w:t>
            </w:r>
          </w:p>
        </w:tc>
        <w:tc>
          <w:tcPr>
            <w:tcW w:type="dxa" w:w="187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Animation Runtime</w:t>
            </w:r>
          </w:p>
        </w:tc>
        <w:tc>
          <w:tcPr>
            <w:tcW w:type="dxa" w:w="379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transition 进度、enter/exit 状态</w:t>
            </w:r>
          </w:p>
        </w:tc>
        <w:tc>
          <w:tcPr>
            <w:tcW w:type="dxa" w:w="153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不持久化，可固定时钟测试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渲染资源状态</w:t>
            </w:r>
          </w:p>
        </w:tc>
        <w:tc>
          <w:tcPr>
            <w:tcW w:type="dxa" w:w="187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Renderer/Asset Adapter</w:t>
            </w:r>
          </w:p>
        </w:tc>
        <w:tc>
          <w:tcPr>
            <w:tcW w:type="dxa" w:w="379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纹理、DOM element、GPU buffer</w:t>
            </w:r>
          </w:p>
        </w:tc>
        <w:tc>
          <w:tcPr>
            <w:tcW w:type="dxa" w:w="15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绝不成为事实源</w:t>
            </w:r>
          </w:p>
        </w:tc>
      </w:tr>
    </w:tbl>
    <w:p>
      <w:pPr>
        <w:spacing w:after="0"/>
      </w:pPr>
    </w:p>
    <w:p>
      <w:pPr>
        <w:pStyle w:val="Heading2"/>
      </w:pPr>
      <w:r>
        <w:t>5.3 多 Surface 与混合渲染</w:t>
      </w:r>
    </w:p>
    <w:p>
      <w:r>
        <w:rPr>
          <w:rFonts w:ascii="Aptos" w:hAnsi="Aptos" w:eastAsia="Microsoft YaHei"/>
        </w:rPr>
        <w:t>Web 游戏常常需要 Canvas HUD 与 DOM 菜单同时存在。LudoWeave 允许一个 UiRuntime 管理多个 UiSurface，每个 surface 拥有自己的 renderer、viewport transform、z-order 与输入策略。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多 Surface 契约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interface UiSurface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id: string;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renderer: RendererAdapter;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viewport: ViewportBinding;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zIndex: number;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inputPolicy: 'active' | 'passthrough' | 'modal';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典型组合：Canvas2D HUD + DOM 设置/聊天 + Accessibility Overlay。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每个 surface 使用逻辑像素；HostAdapter 负责映射浏览器 CSS 像素、设备像素与游戏 viewport。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modal surface 可以阻断下层 UI 与 gameplay input，避免编辑器快捷键或游戏操作穿透。</w:t>
      </w:r>
    </w:p>
    <w:p>
      <w:pPr>
        <w:pStyle w:val="Heading1"/>
        <w:pBdr>
          <w:bottom w:val="single" w:sz="10" w:space="4" w:color="0D7C75"/>
        </w:pBdr>
      </w:pPr>
      <w:r>
        <w:t>6. UI IR 与组件模型</w:t>
      </w:r>
    </w:p>
    <w:p>
      <w:pPr>
        <w:pStyle w:val="Heading2"/>
      </w:pPr>
      <w:r>
        <w:t>6.1 UiNode 设计</w:t>
      </w:r>
    </w:p>
    <w:p>
      <w:r>
        <w:rPr>
          <w:rFonts w:ascii="Aptos" w:hAnsi="Aptos" w:eastAsia="Microsoft YaHei"/>
        </w:rPr>
        <w:t>UiNode 是稳定、可遍历、可快照的中间表示。业务组件每次 view 时可以重新创建轻量节点；runtime 通过 key 和结构进行 reconcile，保留瞬态状态并减少重算。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UiNode（简化接口）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type UiNode&lt;A&gt; =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BoxNode&lt;A&gt;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TextNode&lt;A&gt;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ImageNode&lt;A&gt;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StackNode&lt;A&gt;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GridNode&lt;A&gt;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ScrollNode&lt;A&gt;;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export interface BaseNode&lt;A&gt;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kind: string;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key?: UiKey;       // reconciliation identity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id?: string;       // semantic / test identity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layout?: LayoutSpec;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style?: StyleSpec;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semantics?: Semantics;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actions?: ActionBindings&lt;A&gt;;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children?: readonly UiNode&lt;A&gt;[];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F5F7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F3F5F7"/>
              <w:left w:val="single" w:sz="18" w:color="6B7D8C"/>
              <w:bottom w:val="single" w:sz="2" w:color="F3F5F7"/>
              <w:right w:val="single" w:sz="2" w:color="F3F5F7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6B7D8C"/>
                <w:sz w:val="21"/>
              </w:rPr>
              <w:t>key 与 id 不同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key 用于 sibling 范围内的 reconcile，列表项必须稳定；id 用于测试、调试、可访问性关联和业务定位。不得用数组下标作为会重排列表的 key。</w:t>
            </w:r>
          </w:p>
        </w:tc>
      </w:tr>
    </w:tbl>
    <w:p>
      <w:pPr>
        <w:spacing w:after="0"/>
      </w:pPr>
    </w:p>
    <w:p>
      <w:pPr>
        <w:pStyle w:val="Heading2"/>
      </w:pPr>
      <w:r>
        <w:t>6.2 纯函数组件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组件示例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interface HealthBarProps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id: string;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current: number;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max: number;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label?: string;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export function HealthBar&lt;A&gt;(props: HealthBarProps): UiNode&lt;A&gt;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const ratio = clamp(props.current / props.max, 0, 1);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return Box({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id: props.id,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layout: { width: 240, height: 28 },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style: recipe('healthBar'),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children: [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Box({ key: 'fill', layout: { width: pct(ratio), height: pct(1) },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      style: recipe('healthBar.fill') }),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Text({ key: 'label', text: props.label ?? `${props.current}/${props.max}` })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]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组件不拥有 renderer 对象，也不在执行期间读取全局引擎单例。依赖通过显式 props 或只读 ViewContext 注入；ViewContext 只暴露 theme、locale、asset reference helpers 等无副作用能力。</w:t>
      </w:r>
    </w:p>
    <w:p>
      <w:pPr>
        <w:pStyle w:val="Heading2"/>
      </w:pPr>
      <w:r>
        <w:t>6.3 组件分层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5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0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代表能力</w:t>
            </w:r>
          </w:p>
        </w:tc>
        <w:tc>
          <w:tcPr>
            <w:tcW w:type="dxa" w:w="374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设计要求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Primitives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Box、Text、Image、Stack、Grid、Layer、ScrollView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最小语义；不带游戏业务</w:t>
            </w:r>
          </w:p>
        </w:tc>
      </w:tr>
      <w:tr>
        <w:trPr>
          <w:cantSplit/>
        </w:trPr>
        <w:tc>
          <w:tcPr>
            <w:tcW w:type="dxa" w:w="175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Behaviors</w:t>
            </w:r>
          </w:p>
        </w:tc>
        <w:tc>
          <w:tcPr>
            <w:tcW w:type="dxa" w:w="340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Pressable、Focusable、Scrollable、Draggable、Selectable</w:t>
            </w:r>
          </w:p>
        </w:tc>
        <w:tc>
          <w:tcPr>
            <w:tcW w:type="dxa" w:w="374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统一鼠标/触摸/键盘/手柄；维护瞬态状态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Foundation Components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Button、Dialog、Panel、Tabs、Tooltip、VirtualList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实现键盘与可访问性契约</w:t>
            </w:r>
          </w:p>
        </w:tc>
      </w:tr>
      <w:tr>
        <w:trPr>
          <w:cantSplit/>
        </w:trPr>
        <w:tc>
          <w:tcPr>
            <w:tcW w:type="dxa" w:w="175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Game Components</w:t>
            </w:r>
          </w:p>
        </w:tc>
        <w:tc>
          <w:tcPr>
            <w:tcW w:type="dxa" w:w="340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HealthBar、SkillSlot、InventoryGrid、Subtitle、InteractionPrompt</w:t>
            </w:r>
          </w:p>
        </w:tc>
        <w:tc>
          <w:tcPr>
            <w:tcW w:type="dxa" w:w="374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通过 props 和 ActionRef 与游戏连接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Host Components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SinanTimelineCue、SinanAssetPicker</w:t>
            </w:r>
          </w:p>
        </w:tc>
        <w:tc>
          <w:tcPr>
            <w:tcW w:type="dxa" w:w="374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只能存在于 adapter/host 包，不能进入通用 components</w:t>
            </w:r>
          </w:p>
        </w:tc>
      </w:tr>
    </w:tbl>
    <w:p>
      <w:pPr>
        <w:spacing w:after="0"/>
      </w:pPr>
    </w:p>
    <w:p>
      <w:pPr>
        <w:pStyle w:val="Heading2"/>
      </w:pPr>
      <w:r>
        <w:t>6.4 序列化边界</w:t>
      </w:r>
    </w:p>
    <w:p>
      <w:r>
        <w:rPr>
          <w:rFonts w:ascii="Aptos" w:hAnsi="Aptos" w:eastAsia="Microsoft YaHei"/>
        </w:rPr>
        <w:t>“可序列化”主要用于 UiNode 快照、action log、devtools protocol 和远程调试，不意味着所有组件代码都必须来自 JSON。函数组件仍然是代码；IR 中的 action 使用描述符而不是闭包，custom payload 必须满足 JsonValue 或由注册插件负责。</w:t>
      </w:r>
    </w:p>
    <w:p>
      <w:pPr>
        <w:pStyle w:val="Heading1"/>
        <w:pBdr>
          <w:bottom w:val="single" w:sz="10" w:space="4" w:color="0D7C75"/>
        </w:pBdr>
      </w:pPr>
      <w:r>
        <w:t>7. 状态、Action 与 Effect</w:t>
      </w:r>
    </w:p>
    <w:p>
      <w:pPr>
        <w:pStyle w:val="Heading2"/>
      </w:pPr>
      <w:r>
        <w:t>7.1 单向数据流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应用接口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interface UiApp&lt;Model, Action, Effect&gt;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init(): Model;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update(model: Model, action: Action):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model: Model;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effects?: readonly Effect[];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view(model: Model, ctx: ViewContext&lt;Action&gt;): UiNode&lt;Action&gt;;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组件不直接调用 engine.playSound、scene.closePanel 或 editorStore.setState。它只绑定 ActionRef；宿主 update 决定是否改变 Model，并把副作用交给 EffectExecutor。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Action 与 Effect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Button({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id: 'equip-button',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text: 'Equip',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onPress: emit({ type: 'equip-selected' })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});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// Host-owned update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case 'equip-selected':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return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model,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effects: [{ type: 'game-command', command: makeEquipCommand(model.selectedId) }]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};</w:t>
            </w:r>
          </w:p>
        </w:tc>
      </w:tr>
    </w:tbl>
    <w:p>
      <w:pPr>
        <w:spacing w:after="0"/>
      </w:pPr>
    </w:p>
    <w:p>
      <w:pPr>
        <w:pStyle w:val="Heading2"/>
      </w:pPr>
      <w:r>
        <w:t>7.2 ActionRef 而不是任意闭包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可记录：</w:t>
      </w:r>
      <w:r>
        <w:rPr>
          <w:rFonts w:ascii="Aptos" w:hAnsi="Aptos" w:eastAsia="Microsoft YaHei"/>
        </w:rPr>
        <w:t>Action 可以写入 action log、回放和测试。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可序列化：</w:t>
      </w:r>
      <w:r>
        <w:rPr>
          <w:rFonts w:ascii="Aptos" w:hAnsi="Aptos" w:eastAsia="Microsoft YaHei"/>
        </w:rPr>
        <w:t>DevTools 和 Worker bridge 不需要传输函数。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可类型检查：</w:t>
      </w:r>
      <w:r>
        <w:rPr>
          <w:rFonts w:ascii="Aptos" w:hAnsi="Aptos" w:eastAsia="Microsoft YaHei"/>
        </w:rPr>
        <w:t>Action union 明确展示所有 UI 意图。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可治理：</w:t>
      </w:r>
      <w:r>
        <w:rPr>
          <w:rFonts w:ascii="Aptos" w:hAnsi="Aptos" w:eastAsia="Microsoft YaHei"/>
        </w:rPr>
        <w:t>宿主可在统一入口做权限、去抖、analytics 或 command 转换。</w:t>
      </w:r>
    </w:p>
    <w:p>
      <w:r>
        <w:rPr>
          <w:rFonts w:ascii="Aptos" w:hAnsi="Aptos" w:eastAsia="Microsoft YaHei"/>
        </w:rPr>
        <w:t>可选 authoring adapter 可以接受 callback 并内部映射为临时 handler id，但该模式不属于可序列化核心契约，不能用于需要 headless replay 的关键路径。</w:t>
      </w:r>
    </w:p>
    <w:p>
      <w:pPr>
        <w:pStyle w:val="Heading2"/>
      </w:pPr>
      <w:r>
        <w:t>7.3 Effect 执行规则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Effect 类型</w:t>
            </w:r>
          </w:p>
        </w:tc>
        <w:tc>
          <w:tcPr>
            <w:tcW w:type="dxa" w:w="22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执行者</w:t>
            </w:r>
          </w:p>
        </w:tc>
        <w:tc>
          <w:tcPr>
            <w:tcW w:type="dxa" w:w="436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game-command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宿主/引擎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必须由宿主校验；UI 不持有 world/entity 引用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play-sound</w:t>
            </w:r>
          </w:p>
        </w:tc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音频 adapter</w:t>
            </w:r>
          </w:p>
        </w:tc>
        <w:tc>
          <w:tcPr>
            <w:tcW w:type="dxa" w:w="436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遵守用户手势、静音和资源加载状态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navigate / open-surface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应用 shell</w:t>
            </w:r>
          </w:p>
        </w:tc>
        <w:tc>
          <w:tcPr>
            <w:tcW w:type="dxa" w:w="43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更新 UI 业务 Model 或 surface stack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clipboard / text-input</w:t>
            </w:r>
          </w:p>
        </w:tc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Host capability</w:t>
            </w:r>
          </w:p>
        </w:tc>
        <w:tc>
          <w:tcPr>
            <w:tcW w:type="dxa" w:w="436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失败可诊断，不阻塞主循环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8. 布局、样式与响应式</w:t>
      </w:r>
    </w:p>
    <w:p>
      <w:pPr>
        <w:pStyle w:val="Heading2"/>
      </w:pPr>
      <w:r>
        <w:t>8.1 布局范围</w:t>
      </w:r>
    </w:p>
    <w:p>
      <w:r>
        <w:rPr>
          <w:rFonts w:ascii="Aptos" w:hAnsi="Aptos" w:eastAsia="Microsoft YaHei"/>
        </w:rPr>
        <w:t>MVP 布局目标是覆盖游戏 UI，而不是实现完整 CSS。推荐支持逻辑像素、百分比、auto/content、min/max、row/column stack、overlay、absolute anchor、基础 grid、safe area、scroll 和 virtual list。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1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MVP</w:t>
            </w:r>
          </w:p>
        </w:tc>
        <w:tc>
          <w:tcPr>
            <w:tcW w:type="dxa" w:w="311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后续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Stack/Flex 子集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row/column、gap、justify、align、grow/shrink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更完整 flex basis 与 baseline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Absolute/Anchor</w:t>
            </w:r>
          </w:p>
        </w:tc>
        <w:tc>
          <w:tcPr>
            <w:tcW w:type="dxa" w:w="351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九点锚点、offset、stretch、safe area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约束链与复杂 docking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Grid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固定/auto/fr 基础轨道、gap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subgrid 与复杂自动放置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Text</w:t>
            </w:r>
          </w:p>
        </w:tc>
        <w:tc>
          <w:tcPr>
            <w:tcW w:type="dxa" w:w="351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单段、多行、ellipsis、wrap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复杂富文本、Unicode line breaking 完整优化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Scroll</w:t>
            </w:r>
          </w:p>
        </w:tc>
        <w:tc>
          <w:tcPr>
            <w:tcW w:type="dxa" w:w="351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单轴/双轴、clip、wheel/touch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惯性参数、nested scroll 协调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Virtualization</w:t>
            </w:r>
          </w:p>
        </w:tc>
        <w:tc>
          <w:tcPr>
            <w:tcW w:type="dxa" w:w="351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固定/估算尺寸列表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动态尺寸回收和二维大网格</w:t>
            </w:r>
          </w:p>
        </w:tc>
      </w:tr>
    </w:tbl>
    <w:p>
      <w:pPr>
        <w:spacing w:after="0"/>
      </w:pPr>
    </w:p>
    <w:p>
      <w:pPr>
        <w:pStyle w:val="Heading2"/>
      </w:pPr>
      <w:r>
        <w:t>8.2 布局阶段</w:t>
      </w:r>
    </w:p>
    <w:p>
      <w:pPr>
        <w:pStyle w:val="ListNumber"/>
      </w:pPr>
      <w:r>
        <w:rPr>
          <w:rFonts w:ascii="Aptos" w:hAnsi="Aptos" w:eastAsia="Microsoft YaHei"/>
        </w:rPr>
        <w:t>解析 theme token、variant 和交互状态样式。</w:t>
      </w:r>
    </w:p>
    <w:p>
      <w:pPr>
        <w:pStyle w:val="ListNumber"/>
      </w:pPr>
      <w:r>
        <w:rPr>
          <w:rFonts w:ascii="Aptos" w:hAnsi="Aptos" w:eastAsia="Microsoft YaHei"/>
        </w:rPr>
        <w:t>计算 intrinsic size；文本通过 TextMeasurer，图片通过 AssetMetadata。</w:t>
      </w:r>
    </w:p>
    <w:p>
      <w:pPr>
        <w:pStyle w:val="ListNumber"/>
      </w:pPr>
      <w:r>
        <w:rPr>
          <w:rFonts w:ascii="Aptos" w:hAnsi="Aptos" w:eastAsia="Microsoft YaHei"/>
        </w:rPr>
        <w:t>执行约束传播和容器布局。</w:t>
      </w:r>
    </w:p>
    <w:p>
      <w:pPr>
        <w:pStyle w:val="ListNumber"/>
      </w:pPr>
      <w:r>
        <w:rPr>
          <w:rFonts w:ascii="Aptos" w:hAnsi="Aptos" w:eastAsia="Microsoft YaHei"/>
        </w:rPr>
        <w:t>应用 transform、pixel snapping、clip 与 z-order。</w:t>
      </w:r>
    </w:p>
    <w:p>
      <w:pPr>
        <w:pStyle w:val="ListNumber"/>
      </w:pPr>
      <w:r>
        <w:rPr>
          <w:rFonts w:ascii="Aptos" w:hAnsi="Aptos" w:eastAsia="Microsoft YaHei"/>
        </w:rPr>
        <w:t>生成 hit-test bounds、directional focus candidates 和 semantic bounds。</w:t>
      </w:r>
    </w:p>
    <w:p>
      <w:pPr>
        <w:pStyle w:val="ListNumber"/>
      </w:pPr>
      <w:r>
        <w:rPr>
          <w:rFonts w:ascii="Aptos" w:hAnsi="Aptos" w:eastAsia="Microsoft YaHei"/>
        </w:rPr>
        <w:t>对脏子树输出 paint list，并更新测量缓存。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DF2EF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DDF2EF"/>
              <w:left w:val="single" w:sz="18" w:color="0D7C75"/>
              <w:bottom w:val="single" w:sz="2" w:color="DDF2EF"/>
              <w:right w:val="single" w:sz="2" w:color="DDF2EF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0D7C75"/>
                <w:sz w:val="21"/>
              </w:rPr>
              <w:t>一致性策略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DOM renderer 也使用 core 计算的布局 box。浏览器 CSS 只负责呈现和原生控件内部行为，不重新决定跨 renderer 的主布局。</w:t>
            </w:r>
          </w:p>
        </w:tc>
      </w:tr>
    </w:tbl>
    <w:p>
      <w:pPr>
        <w:spacing w:after="0"/>
      </w:pPr>
    </w:p>
    <w:p>
      <w:pPr>
        <w:pStyle w:val="Heading2"/>
      </w:pPr>
      <w:r>
        <w:t>8.3 样式与主题</w:t>
      </w:r>
    </w:p>
    <w:p>
      <w:r>
        <w:rPr>
          <w:rFonts w:ascii="Aptos" w:hAnsi="Aptos" w:eastAsia="Microsoft YaHei"/>
        </w:rPr>
        <w:t>LudoWeave 不采用全局 CSS cascade。样式解析顺序固定为：primitive 默认值 &lt; theme recipe &lt; component variant &lt; props override &lt; runtime state。可继承属性仅限明确列表，如 typography、text color、locale direction。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Theme token 与 recipe 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const darkTheme = defineTheme({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tokens: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'color.text.primary': '#ffffff',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'color.panel.background': '#151923',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'space.md': 16,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'radius.md': 8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recipes: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button: ({ state, variant }) =&gt; ({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background: token(state.pressed ? 'color.button.pressed' : 'color.button.base'),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padding: [token('space.sm'), token('space.md')]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})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});</w:t>
            </w:r>
          </w:p>
        </w:tc>
      </w:tr>
    </w:tbl>
    <w:p>
      <w:pPr>
        <w:spacing w:after="0"/>
      </w:pPr>
    </w:p>
    <w:p>
      <w:pPr>
        <w:pStyle w:val="ListBullet"/>
        <w:ind w:left="369" w:hanging="170"/>
      </w:pPr>
      <w:r>
        <w:rPr>
          <w:rFonts w:ascii="Aptos" w:hAnsi="Aptos" w:eastAsia="Microsoft YaHei"/>
        </w:rPr>
        <w:t>裸颜色、字体和 spacing 只允许出现在 theme 或明确的临时实验中。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recipe 必须是纯函数，并可按 theme version、variant 和 state 做缓存。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响应式优先依据 surface/container 尺寸，而不是只依据 window；浏览器宿主通过 ResizeObserver 更新 viewport。</w:t>
      </w:r>
    </w:p>
    <w:p>
      <w:pPr>
        <w:pStyle w:val="Heading2"/>
      </w:pPr>
      <w:r>
        <w:t>8.4 文本测量与像素策略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所有 layout 数值使用逻辑像素；Renderer 根据 devicePixelRatio 选择 backing store。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TextMeasurer 的 cache key 至少包含 font handle、size、weight、letter spacing、locale、wrap width 和文本。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Canvas/GPU 文本与 DOM 可能存在字体栅格差异；验收采用 box/基线容差，而不是截图逐像素强等同。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为 pixel-art UI 提供可选 integer snapping；默认只在最终 paint 阶段 snapping，不污染布局计算。</w:t>
      </w:r>
    </w:p>
    <w:p>
      <w:pPr>
        <w:pStyle w:val="Heading1"/>
        <w:pBdr>
          <w:bottom w:val="single" w:sz="10" w:space="4" w:color="0D7C75"/>
        </w:pBdr>
      </w:pPr>
      <w:r>
        <w:t>9. 输入、焦点、文本输入与可访问性</w:t>
      </w:r>
    </w:p>
    <w:p>
      <w:pPr>
        <w:pStyle w:val="Heading2"/>
      </w:pPr>
      <w:r>
        <w:t>9.1 输入统一模型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6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归一化事件</w:t>
            </w:r>
          </w:p>
        </w:tc>
        <w:tc>
          <w:tcPr>
            <w:tcW w:type="dxa" w:w="35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主要能力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Pointer Events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pointer down/move/up/cancel、hover、capture</w:t>
            </w:r>
          </w:p>
        </w:tc>
        <w:tc>
          <w:tcPr>
            <w:tcW w:type="dxa" w:w="35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鼠标、触摸、笔统一；拖拽、长按、双击由 behavior 组合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Keyboard</w:t>
            </w:r>
          </w:p>
        </w:tc>
        <w:tc>
          <w:tcPr>
            <w:tcW w:type="dxa" w:w="362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key down/up、repeat、modifiers</w:t>
            </w:r>
          </w:p>
        </w:tc>
        <w:tc>
          <w:tcPr>
            <w:tcW w:type="dxa" w:w="357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快捷键、焦点激活、Tab 导航；不承担文本内容输入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Text/IME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beforeinput/input/composition</w:t>
            </w:r>
          </w:p>
        </w:tc>
        <w:tc>
          <w:tcPr>
            <w:tcW w:type="dxa" w:w="35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聊天、命名、搜索、CJK 输入与移动端软键盘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Gamepad</w:t>
            </w:r>
          </w:p>
        </w:tc>
        <w:tc>
          <w:tcPr>
            <w:tcW w:type="dxa" w:w="362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button、axis、connect/disconnect</w:t>
            </w:r>
          </w:p>
        </w:tc>
        <w:tc>
          <w:tcPr>
            <w:tcW w:type="dxa" w:w="357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确认、取消、方向导航、轴阈值与 repeat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Wheel</w:t>
            </w:r>
          </w:p>
        </w:tc>
        <w:tc>
          <w:tcPr>
            <w:tcW w:type="dxa" w:w="36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delta + mode</w:t>
            </w:r>
          </w:p>
        </w:tc>
        <w:tc>
          <w:tcPr>
            <w:tcW w:type="dxa" w:w="35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滚动与缩放手势，尊重 modal 和 scroll chaining policy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事件分派支持 capture、target、bubble。Pressable 等 behavior 负责跨输入源统一“按下—激活—取消”语义，业务 Button 不重复实现底层事件。</w:t>
      </w:r>
    </w:p>
    <w:p>
      <w:pPr>
        <w:pStyle w:val="Heading2"/>
      </w:pPr>
      <w:r>
        <w:t>9.2 Focus 与游戏手柄导航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Focus scope：</w:t>
      </w:r>
      <w:r>
        <w:rPr>
          <w:rFonts w:ascii="Aptos" w:hAnsi="Aptos" w:eastAsia="Microsoft YaHei"/>
        </w:rPr>
        <w:t>Dialog、菜单、弹窗和列表可以形成 scope；modal scope 会 trap focus。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Tab order：</w:t>
      </w:r>
      <w:r>
        <w:rPr>
          <w:rFonts w:ascii="Aptos" w:hAnsi="Aptos" w:eastAsia="Microsoft YaHei"/>
        </w:rPr>
        <w:t>基于语义树顺序，允许显式 next/previous 覆盖。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Directional navigation：</w:t>
      </w:r>
      <w:r>
        <w:rPr>
          <w:rFonts w:ascii="Aptos" w:hAnsi="Aptos" w:eastAsia="Microsoft YaHei"/>
        </w:rPr>
        <w:t>根据可见 bounds 和方向评分构建候选图，允许组件显式 nav override。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Focus restoration：</w:t>
      </w:r>
      <w:r>
        <w:rPr>
          <w:rFonts w:ascii="Aptos" w:hAnsi="Aptos" w:eastAsia="Microsoft YaHei"/>
        </w:rPr>
        <w:t>关闭 modal 后返回触发元素；节点消失时选择最近有效 fallback。</w:t>
      </w:r>
    </w:p>
    <w:p>
      <w:pPr>
        <w:pStyle w:val="ListBullet"/>
        <w:ind w:left="369" w:hanging="170"/>
      </w:pPr>
      <w:r>
        <w:rPr>
          <w:rFonts w:ascii="Aptos" w:hAnsi="Aptos" w:eastAsia="Microsoft YaHei"/>
          <w:b/>
          <w:color w:val="17324D"/>
        </w:rPr>
        <w:t>Input modality：</w:t>
      </w:r>
      <w:r>
        <w:rPr>
          <w:rFonts w:ascii="Aptos" w:hAnsi="Aptos" w:eastAsia="Microsoft YaHei"/>
        </w:rPr>
        <w:t>跟踪最近的 pointer/keyboard/gamepad 模式，决定 focus ring 与提示文本。</w:t>
      </w:r>
    </w:p>
    <w:p>
      <w:pPr>
        <w:pStyle w:val="Heading2"/>
      </w:pPr>
      <w:r>
        <w:t>9.3 Web 文本输入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3D6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FFF3D6"/>
              <w:left w:val="single" w:sz="18" w:color="C7682A"/>
              <w:bottom w:val="single" w:sz="2" w:color="FFF3D6"/>
              <w:right w:val="single" w:sz="2" w:color="FFF3D6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C7682A"/>
                <w:sz w:val="21"/>
              </w:rPr>
              <w:t>强制设计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Canvas/WebGL/WebGPU renderer 不自行模拟完整文本编辑。需要可编辑文本时，Host 创建与布局 box 对齐的原生 DOM input/textarea overlay，以获得 IME、selection、clipboard、移动键盘和浏览器可访问性。</w:t>
            </w:r>
          </w:p>
        </w:tc>
      </w:tr>
    </w:tbl>
    <w:p>
      <w:pPr>
        <w:spacing w:after="0"/>
      </w:pPr>
    </w:p>
    <w:p>
      <w:pPr>
        <w:pStyle w:val="Heading2"/>
      </w:pPr>
      <w:r>
        <w:t>9.4 可访问性</w:t>
      </w:r>
    </w:p>
    <w:p>
      <w:r>
        <w:rPr>
          <w:rFonts w:ascii="Aptos" w:hAnsi="Aptos" w:eastAsia="Microsoft YaHei"/>
        </w:rPr>
        <w:t>Semantics 与 Paint 分离但同源。组件输出 role、label、description、value、state、actions 和 focusability。DOM renderer 使用原生元素优先；Canvas/GPU renderer 使用与计算 box 对齐的 Accessibility Overlay，并把焦点和激活动作映射回 runtime。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组件语义</w:t>
            </w:r>
          </w:p>
        </w:tc>
        <w:tc>
          <w:tcPr>
            <w:tcW w:type="dxa" w:w="652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最低键盘契约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Button</w:t>
            </w:r>
          </w:p>
        </w:tc>
        <w:tc>
          <w:tcPr>
            <w:tcW w:type="dxa" w:w="6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Enter/Space 激活；disabled 不可聚焦或不可激活，按组件政策一致</w:t>
            </w:r>
          </w:p>
        </w:tc>
      </w:tr>
      <w:tr>
        <w:trPr>
          <w:cantSplit/>
        </w:trPr>
        <w:tc>
          <w:tcPr>
            <w:tcW w:type="dxa" w:w="238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Dialog</w:t>
            </w:r>
          </w:p>
        </w:tc>
        <w:tc>
          <w:tcPr>
            <w:tcW w:type="dxa" w:w="652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打开后移动焦点；modal trap；关闭后恢复焦点；Escape 按业务政策关闭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Tabs</w:t>
            </w:r>
          </w:p>
        </w:tc>
        <w:tc>
          <w:tcPr>
            <w:tcW w:type="dxa" w:w="6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方向键切换或移动焦点；Home/End 可选；aria-selected 同步</w:t>
            </w:r>
          </w:p>
        </w:tc>
      </w:tr>
      <w:tr>
        <w:trPr>
          <w:cantSplit/>
        </w:trPr>
        <w:tc>
          <w:tcPr>
            <w:tcW w:type="dxa" w:w="238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Listbox/Grid</w:t>
            </w:r>
          </w:p>
        </w:tc>
        <w:tc>
          <w:tcPr>
            <w:tcW w:type="dxa" w:w="652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方向导航、选择状态和可见 label 明确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Slider</w:t>
            </w:r>
          </w:p>
        </w:tc>
        <w:tc>
          <w:tcPr>
            <w:tcW w:type="dxa" w:w="6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方向键、PageUp/PageDown/Home/End；value text 可读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组件键盘与 ARIA 行为以 WAI-ARIA Authoring Practices 的相应 pattern 作为参考，但优先使用原生 HTML 语义。DOM renderer 的自动化检查使用 axe-core，不能把自动化通过等同于完整人工无障碍验收。</w:t>
      </w:r>
    </w:p>
    <w:p>
      <w:pPr>
        <w:pStyle w:val="Heading1"/>
        <w:pBdr>
          <w:bottom w:val="single" w:sz="10" w:space="4" w:color="0D7C75"/>
        </w:pBdr>
      </w:pPr>
      <w:r>
        <w:t>10. 渲染后端与能力协商</w:t>
      </w:r>
    </w:p>
    <w:p>
      <w:pPr>
        <w:pStyle w:val="Heading2"/>
      </w:pPr>
      <w:r>
        <w:t>10.1 RendererAdapter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Renderer 基础契约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interface RendererAdapter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capabilities: RendererCapabilities;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mount(target: RendererTarget): void | Promise&lt;void&gt;;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render(frame: ResolvedUiFrame): void;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resize?(viewport: ResolvedViewport): void;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dispose(): void;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9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后端</w:t>
            </w:r>
          </w:p>
        </w:tc>
        <w:tc>
          <w:tcPr>
            <w:tcW w:type="dxa" w:w="396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00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v1 策略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Headless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单测、快照、AI/DevTools、服务端验证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第一优先；所有核心功能先在此可观察</w:t>
            </w:r>
          </w:p>
        </w:tc>
      </w:tr>
      <w:tr>
        <w:trPr>
          <w:cantSplit/>
        </w:trPr>
        <w:tc>
          <w:tcPr>
            <w:tcW w:type="dxa" w:w="192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DOM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菜单、设置、表单、聊天、工具型面板</w:t>
            </w:r>
          </w:p>
        </w:tc>
        <w:tc>
          <w:tcPr>
            <w:tcW w:type="dxa" w:w="300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真实元素 + core layout；可访问性最完整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Canvas2D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HUD、血条、技能栏、字幕、轻量背包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MVP 图形后端；rect/text/image/nine-slice/clip</w:t>
            </w:r>
          </w:p>
        </w:tc>
      </w:tr>
      <w:tr>
        <w:trPr>
          <w:cantSplit/>
        </w:trPr>
        <w:tc>
          <w:tcPr>
            <w:tcW w:type="dxa" w:w="192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PixiJS/WebGL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大量图片、批处理、复杂视觉和高频刷新</w:t>
            </w:r>
          </w:p>
        </w:tc>
        <w:tc>
          <w:tcPr>
            <w:tcW w:type="dxa" w:w="300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核心稳定后；Pixi 作为 peer dependency adapter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WebGPU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未来高性能批处理、shader UI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能力增强；必须提供 WebGL/Canvas fallback</w:t>
            </w:r>
          </w:p>
        </w:tc>
      </w:tr>
      <w:tr>
        <w:trPr>
          <w:cantSplit/>
        </w:trPr>
        <w:tc>
          <w:tcPr>
            <w:tcW w:type="dxa" w:w="192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Engine Adapter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Phaser/Cocos/Godot/Unity WebGL 等</w:t>
            </w:r>
          </w:p>
        </w:tc>
        <w:tc>
          <w:tcPr>
            <w:tcW w:type="dxa" w:w="300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通过 Host/Renderer 契约接入，禁止修改 core 类型</w:t>
            </w:r>
          </w:p>
        </w:tc>
      </w:tr>
    </w:tbl>
    <w:p>
      <w:pPr>
        <w:spacing w:after="0"/>
      </w:pPr>
    </w:p>
    <w:p>
      <w:pPr>
        <w:pStyle w:val="Heading2"/>
      </w:pPr>
      <w:r>
        <w:t>10.2 DOM Renderer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为语义节点选用 button、input、dialog、ul/li 等原生元素；无原生对应时才使用 ARIA role。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应用 core 计算的 absolute box/transform，避免 CSS flex/grid 与 core 布局产生双重事实源。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保留 DOM element pool 和 keyed reconciliation；属性更新使用最小 diff。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对用户提供的文本使用 textContent；富文本采用受限 AST，不接受任意 innerHTML。</w:t>
      </w:r>
    </w:p>
    <w:p>
      <w:pPr>
        <w:pStyle w:val="Heading2"/>
      </w:pPr>
      <w:r>
        <w:t>10.3 Canvas2D Renderer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基础命令：clear、rect、rounded rect、text run、image、nine-slice、clip、opacity、transform。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缓存 text metrics、Path2D、image decode 和 nine-slice；合并连续状态切换。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支持 dirty regions，但先以全帧正确性为基线，只有 profiling 证明必要后启用。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可在后续通过 OffscreenCanvas/Worker 迁移绘制；输入、DOM overlay 和部分资产生命周期仍需主线程桥接。</w:t>
      </w:r>
    </w:p>
    <w:p>
      <w:pPr>
        <w:pStyle w:val="Heading2"/>
      </w:pPr>
      <w:r>
        <w:t>10.4 PixiJS/WebGL 与 WebGPU</w:t>
      </w:r>
    </w:p>
    <w:p>
      <w:r>
        <w:rPr>
          <w:rFonts w:ascii="Aptos" w:hAnsi="Aptos" w:eastAsia="Microsoft YaHei"/>
        </w:rPr>
        <w:t>PixiJS 当前提供稳定的 WebGL/WebGL2 renderer，并提供仍在成熟中的 WebGPU renderer，因此 LudoWeave 首个 GPU adapter 应以 WebGL 生产路径为基线，把 WebGPU 作为 capability-driven 增强。Core 只输出自己的 frame，不暴露 PIXI.Container、Texture 或 shader 类型。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BE7E4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FBE7E4"/>
              <w:left w:val="single" w:sz="18" w:color="B6493C"/>
              <w:bottom w:val="single" w:sz="2" w:color="FBE7E4"/>
              <w:right w:val="single" w:sz="2" w:color="FBE7E4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B6493C"/>
                <w:sz w:val="21"/>
              </w:rPr>
              <w:t>WebGPU 决策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WebGPU 仍不是所有主流浏览器的统一 Baseline，并要求安全上下文。项目不得以 WebGPU-only 方式发布 v1；所有 WebGPU feature 必须有明确 feature detection、错误诊断和后备 renderer。</w:t>
            </w:r>
          </w:p>
        </w:tc>
      </w:tr>
    </w:tbl>
    <w:p>
      <w:pPr>
        <w:spacing w:after="0"/>
      </w:pPr>
    </w:p>
    <w:p>
      <w:pPr>
        <w:pStyle w:val="Heading2"/>
      </w:pPr>
      <w:r>
        <w:t>10.5 Renderer Conformance Suite</w:t>
      </w:r>
    </w:p>
    <w:p>
      <w:r>
        <w:rPr>
          <w:rFonts w:ascii="Aptos" w:hAnsi="Aptos" w:eastAsia="Microsoft YaHei"/>
        </w:rPr>
        <w:t>每个 renderer 必须消费同一批 golden frames，并验证 layout bounds、clip、z-order、opacity、text baseline 容差、focus 可视化和 action mapping。新 renderer 不通过 conformance suite 不进入官方支持矩阵。</w:t>
      </w:r>
    </w:p>
    <w:p>
      <w:pPr>
        <w:pStyle w:val="Heading1"/>
        <w:pBdr>
          <w:bottom w:val="single" w:sz="10" w:space="4" w:color="0D7C75"/>
        </w:pBdr>
      </w:pPr>
      <w:r>
        <w:t>11. 动画、时间与导演系统边界</w:t>
      </w:r>
    </w:p>
    <w:p>
      <w:pPr>
        <w:pStyle w:val="Heading2"/>
      </w:pPr>
      <w:r>
        <w:t>11.1 声明式动画</w:t>
      </w:r>
    </w:p>
    <w:p>
      <w:r>
        <w:rPr>
          <w:rFonts w:ascii="Aptos" w:hAnsi="Aptos" w:eastAsia="Microsoft YaHei"/>
        </w:rPr>
        <w:t>组件声明目标值和 transition policy；Animation Runtime 使用 Host clock 计算中间值。组件不得调用引擎 tween。MVP 支持 duration/easing、delay、enter/exit、interrupt policy 和 reduced motion；spring 与复杂 keyframes 后置。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声明式 transition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style: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opacity: transition(model.open ? 1 : 0,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durationMs: 180,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easing: 'ease-out',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reducedMotion: 'instant'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}),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transform: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scale: transition(model.open ? 1 : 0.96, { durationMs: 180 })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11.2 与 Sinan Timeline 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464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25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所有者</w:t>
            </w:r>
          </w:p>
        </w:tc>
      </w:tr>
      <w:tr>
        <w:trPr>
          <w:cantSplit/>
        </w:trPr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镜头、场景实体、音频 cue、故事时间轴</w:t>
            </w:r>
          </w:p>
        </w:tc>
        <w:tc>
          <w:tcPr>
            <w:tcW w:type="dxa" w:w="42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Sinan Director / Timeline</w:t>
            </w:r>
          </w:p>
        </w:tc>
      </w:tr>
      <w:tr>
        <w:trPr>
          <w:cantSplit/>
        </w:trPr>
        <w:tc>
          <w:tcPr>
            <w:tcW w:type="dxa" w:w="464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UI 语义 cue：显示字幕、更新目标、打开提示</w:t>
            </w:r>
          </w:p>
        </w:tc>
        <w:tc>
          <w:tcPr>
            <w:tcW w:type="dxa" w:w="425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Sinan → ViewModel/Event adapter</w:t>
            </w:r>
          </w:p>
        </w:tc>
      </w:tr>
      <w:tr>
        <w:trPr>
          <w:cantSplit/>
        </w:trPr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按钮 hover、弹窗 enter/exit、进度条缓动</w:t>
            </w:r>
          </w:p>
        </w:tc>
        <w:tc>
          <w:tcPr>
            <w:tcW w:type="dxa" w:w="42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LudoWeave Animation Runtime</w:t>
            </w:r>
          </w:p>
        </w:tc>
      </w:tr>
      <w:tr>
        <w:trPr>
          <w:cantSplit/>
        </w:trPr>
        <w:tc>
          <w:tcPr>
            <w:tcW w:type="dxa" w:w="464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Scrub 时副作用安全分类</w:t>
            </w:r>
          </w:p>
        </w:tc>
        <w:tc>
          <w:tcPr>
            <w:tcW w:type="dxa" w:w="425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Sinan Director 决定；LudoWeave 只响应当前语义状态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避免让 LudoWeave 复制一个完整 sequencer。Sinan Timeline 应把 UI 变化表达成可重建的语义状态或幂等 cue；LudoWeave 根据当前 Model 生成视觉结果，从而支持 scrub、reload 与 headless 测试。</w:t>
      </w:r>
    </w:p>
    <w:p>
      <w:pPr>
        <w:pStyle w:val="Heading1"/>
        <w:pBdr>
          <w:bottom w:val="single" w:sz="10" w:space="4" w:color="0D7C75"/>
        </w:pBdr>
      </w:pPr>
      <w:r>
        <w:t>12. 资源、字体、本地化与主题</w:t>
      </w:r>
    </w:p>
    <w:p>
      <w:pPr>
        <w:pStyle w:val="Heading2"/>
      </w:pPr>
      <w:r>
        <w:t>12.1 AssetRef 与资源解析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资源契约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interface AssetRef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id: string;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kind: 'image' | 'font' | 'icon' | 'nine-slice';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variant?: string;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export interface AssetResolver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resolve(ref: AssetRef, signal?: AbortSignal): Promise&lt;AssetHandle&gt;;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metadata(ref: AssetRef): AssetMetadata | undefined;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ind w:left="369" w:hanging="170"/>
      </w:pPr>
      <w:r>
        <w:rPr>
          <w:rFonts w:ascii="Aptos" w:hAnsi="Aptos" w:eastAsia="Microsoft YaHei"/>
        </w:rPr>
        <w:t>组件只持有 AssetRef，不持有 URL、HTMLImageElement、Texture 或引擎资源对象。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加载中、失败和缺失必须有确定性 placeholder；错误通过 DiagnosticSink 报告。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Atlas、KTX2、CDN、缓存与资源预算由 renderer/host adapter 处理。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Sinan adapter 将 assets.manifest.json 中的 id 映射为 LudoWeave AssetRef，事实源仍属于 Sinan。</w:t>
      </w:r>
    </w:p>
    <w:p>
      <w:pPr>
        <w:pStyle w:val="Heading2"/>
      </w:pPr>
      <w:r>
        <w:t>12.2 字体与本地化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FontRef 与 font loading 由 Host 能力处理；字体就绪后触发相关文本节点重新测量。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本地化推荐在宿主或独立 i18n service 中把 message key 解析为文本；UiNode 只接收最终文本或稳定的 LocalizedText descriptor。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布局必须支持 RTL direction、数字和文本扩张；至少建立 30% 文本扩张 fixture。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复杂 bidi、断词和 shaping 在 Canvas/GPU 后端需要专门实现；v1 可把高要求语言场景优先交给 DOM renderer。</w:t>
      </w:r>
    </w:p>
    <w:p>
      <w:pPr>
        <w:pStyle w:val="Heading2"/>
      </w:pPr>
      <w:r>
        <w:t>12.3 外部 JSON 与 schema</w:t>
      </w:r>
    </w:p>
    <w:p>
      <w:r>
        <w:rPr>
          <w:rFonts w:ascii="Aptos" w:hAnsi="Aptos" w:eastAsia="Microsoft YaHei"/>
        </w:rPr>
        <w:t>LudoWeave 的主 authoring 是 TypeScript，不强制用 JSON 配置界面。只有 theme token、asset manifest、recorded action log、DevTools protocol 等跨工具数据需要 JSON Schema；该能力放在可选 @ludoweave/schema 包，并用 Ajv 校验，避免把 Ajv 变成 core 的运行时依赖。</w:t>
      </w:r>
    </w:p>
    <w:p>
      <w:pPr>
        <w:pStyle w:val="Heading1"/>
        <w:pBdr>
          <w:bottom w:val="single" w:sz="10" w:space="4" w:color="0D7C75"/>
        </w:pBdr>
      </w:pPr>
      <w:r>
        <w:t>13. 包结构、公共 API 与版本治理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254869"/>
            <wp:docPr id="3" name="Picture 3" descr="图 3：建议依赖层级。发布包可以逐步拆分，但依赖方向不可反转。" title="图 3：建议依赖层级。发布包可以逐步拆分，但依赖方向不可反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4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YaHei"/>
          <w:i/>
          <w:color w:val="526779"/>
          <w:sz w:val="17"/>
        </w:rPr>
        <w:t>图 3：建议依赖层级。发布包可以逐步拆分，但依赖方向不可反转。</w:t>
      </w:r>
    </w:p>
    <w:p>
      <w:pPr>
        <w:pStyle w:val="Heading2"/>
      </w:pPr>
      <w:r>
        <w:t>13.1 包策略</w:t>
      </w:r>
    </w:p>
    <w:p>
      <w:r>
        <w:rPr>
          <w:rFonts w:ascii="Aptos" w:hAnsi="Aptos" w:eastAsia="Microsoft YaHei"/>
        </w:rPr>
        <w:t>源码模块可以细分，但 MVP 不应一次发布过多 npm 包。建议先发布稳定用户边界，内部模块待 API 成熟后再独立。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60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包</w:t>
            </w:r>
          </w:p>
        </w:tc>
        <w:tc>
          <w:tcPr>
            <w:tcW w:type="dxa" w:w="124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MVP</w:t>
            </w:r>
          </w:p>
        </w:tc>
        <w:tc>
          <w:tcPr>
            <w:tcW w:type="dxa" w:w="476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@ludoweave/core</w:t>
            </w:r>
          </w:p>
        </w:tc>
        <w:tc>
          <w:tcPr>
            <w:tcW w:type="dxa" w:w="124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是</w:t>
            </w:r>
          </w:p>
        </w:tc>
        <w:tc>
          <w:tcPr>
            <w:tcW w:type="dxa" w:w="476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UiNode、runtime、event、focus、layout、animation、resolved frame contracts</w:t>
            </w:r>
          </w:p>
        </w:tc>
      </w:tr>
      <w:tr>
        <w:trPr>
          <w:cantSplit/>
        </w:trPr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@ludoweave/components</w:t>
            </w:r>
          </w:p>
        </w:tc>
        <w:tc>
          <w:tcPr>
            <w:tcW w:type="dxa" w:w="124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是</w:t>
            </w:r>
          </w:p>
        </w:tc>
        <w:tc>
          <w:tcPr>
            <w:tcW w:type="dxa" w:w="476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primitives、behaviors、foundation 和基础 game components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@ludoweave/renderer-headless</w:t>
            </w:r>
          </w:p>
        </w:tc>
        <w:tc>
          <w:tcPr>
            <w:tcW w:type="dxa" w:w="124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是</w:t>
            </w:r>
          </w:p>
        </w:tc>
        <w:tc>
          <w:tcPr>
            <w:tcW w:type="dxa" w:w="476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快照、测试、调试与 conformance 基线</w:t>
            </w:r>
          </w:p>
        </w:tc>
      </w:tr>
      <w:tr>
        <w:trPr>
          <w:cantSplit/>
        </w:trPr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@ludoweave/renderer-dom</w:t>
            </w:r>
          </w:p>
        </w:tc>
        <w:tc>
          <w:tcPr>
            <w:tcW w:type="dxa" w:w="124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是</w:t>
            </w:r>
          </w:p>
        </w:tc>
        <w:tc>
          <w:tcPr>
            <w:tcW w:type="dxa" w:w="476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DOM、native input、accessibility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@ludoweave/renderer-canvas2d</w:t>
            </w:r>
          </w:p>
        </w:tc>
        <w:tc>
          <w:tcPr>
            <w:tcW w:type="dxa" w:w="124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是</w:t>
            </w:r>
          </w:p>
        </w:tc>
        <w:tc>
          <w:tcPr>
            <w:tcW w:type="dxa" w:w="476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浏览器 Canvas2D HUD renderer</w:t>
            </w:r>
          </w:p>
        </w:tc>
      </w:tr>
      <w:tr>
        <w:trPr>
          <w:cantSplit/>
        </w:trPr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@ludoweave/testing</w:t>
            </w:r>
          </w:p>
        </w:tc>
        <w:tc>
          <w:tcPr>
            <w:tcW w:type="dxa" w:w="124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是</w:t>
            </w:r>
          </w:p>
        </w:tc>
        <w:tc>
          <w:tcPr>
            <w:tcW w:type="dxa" w:w="476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mount harness、fixtures、action log、renderer conformance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@ludoweave/sinan</w:t>
            </w:r>
          </w:p>
        </w:tc>
        <w:tc>
          <w:tcPr>
            <w:tcW w:type="dxa" w:w="124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POC</w:t>
            </w:r>
          </w:p>
        </w:tc>
        <w:tc>
          <w:tcPr>
            <w:tcW w:type="dxa" w:w="476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Sinan ViewModel/Action/Asset/Input adapter</w:t>
            </w:r>
          </w:p>
        </w:tc>
      </w:tr>
      <w:tr>
        <w:trPr>
          <w:cantSplit/>
        </w:trPr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@ludoweave/renderer-pixi</w:t>
            </w:r>
          </w:p>
        </w:tc>
        <w:tc>
          <w:tcPr>
            <w:tcW w:type="dxa" w:w="124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后续</w:t>
            </w:r>
          </w:p>
        </w:tc>
        <w:tc>
          <w:tcPr>
            <w:tcW w:type="dxa" w:w="476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WebGL 生产级 GPU adapter</w:t>
            </w:r>
          </w:p>
        </w:tc>
      </w:tr>
      <w:tr>
        <w:trPr>
          <w:cantSplit/>
        </w:trPr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@ludoweave/react</w:t>
            </w:r>
          </w:p>
        </w:tc>
        <w:tc>
          <w:tcPr>
            <w:tcW w:type="dxa" w:w="124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后续/可选</w:t>
            </w:r>
          </w:p>
        </w:tc>
        <w:tc>
          <w:tcPr>
            <w:tcW w:type="dxa" w:w="476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React authoring/embedding bridge，不进入 core</w:t>
            </w:r>
          </w:p>
        </w:tc>
      </w:tr>
      <w:tr>
        <w:trPr>
          <w:cantSplit/>
        </w:trPr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@ludoweave/schema</w:t>
            </w:r>
          </w:p>
        </w:tc>
        <w:tc>
          <w:tcPr>
            <w:tcW w:type="dxa" w:w="1247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可选</w:t>
            </w:r>
          </w:p>
        </w:tc>
        <w:tc>
          <w:tcPr>
            <w:tcW w:type="dxa" w:w="476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JSON Schema、Ajv validator、protocol schemas</w:t>
            </w:r>
          </w:p>
        </w:tc>
      </w:tr>
    </w:tbl>
    <w:p>
      <w:pPr>
        <w:spacing w:after="0"/>
      </w:pPr>
    </w:p>
    <w:p>
      <w:pPr>
        <w:pStyle w:val="Heading2"/>
      </w:pPr>
      <w:r>
        <w:t>13.2 公共 API 规则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每个发布包只有一个明确 public entry，内部路径默认不导出。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公共类型必须通过 API Extractor 生成 API report；任何 diff 在 PR 中显式审查。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exported union 预留扩展时使用明确版本策略，不依赖任意 string 逃逸。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错误使用 discriminated diagnostics，不把 renderer 原生异常直接作为公共 API。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v0.x 允许快速迭代，但 breaking change 必须有 migration note；v1 后遵守 SemVer。</w:t>
      </w:r>
    </w:p>
    <w:p>
      <w:pPr>
        <w:pStyle w:val="Heading2"/>
      </w:pPr>
      <w:r>
        <w:t>13.3 仓库与发布治理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pnpm workspace 管理多包；内部依赖使用 workspace: protocol。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Changesets 管理版本、changelog 和跨包依赖升级。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发布前运行 publint、类型入口检查、package exports 测试和最小消费项目 smoke。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core 与 renderer 使用独立版本可降低无关升级，但首个 v1 前可采用 fixed group 简化兼容矩阵。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所有专用 adapter 都标注与 core、宿主的兼容范围，并运行 contract tests。</w:t>
      </w:r>
    </w:p>
    <w:p>
      <w:pPr>
        <w:pStyle w:val="Heading1"/>
        <w:pBdr>
          <w:bottom w:val="single" w:sz="10" w:space="4" w:color="0D7C75"/>
        </w:pBdr>
      </w:pPr>
      <w:r>
        <w:t>14. 推荐技术栈与工程体系</w:t>
      </w:r>
    </w:p>
    <w:p>
      <w:pPr>
        <w:pStyle w:val="Heading2"/>
      </w:pPr>
      <w:r>
        <w:t>14.1 技术栈总览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领域</w:t>
            </w:r>
          </w:p>
        </w:tc>
        <w:tc>
          <w:tcPr>
            <w:tcW w:type="dxa" w:w="260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选择</w:t>
            </w:r>
          </w:p>
        </w:tc>
        <w:tc>
          <w:tcPr>
            <w:tcW w:type="dxa" w:w="396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使用方式</w:t>
            </w:r>
          </w:p>
        </w:tc>
        <w:tc>
          <w:tcPr>
            <w:tcW w:type="dxa" w:w="113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进入阶段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语言</w:t>
            </w:r>
          </w:p>
        </w:tc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TypeScript（strict）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ESM-first；target ES2022；开启 noUncheckedIndexedAccess、exactOptionalPropertyTypes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运行环境</w:t>
            </w:r>
          </w:p>
        </w:tc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Node.js Active LTS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CI 支持当前与前一 LTS；包本身面向 browser ESM</w:t>
            </w:r>
          </w:p>
        </w:tc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Monorepo</w:t>
            </w:r>
          </w:p>
        </w:tc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pnpm workspace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workspace protocol、单 lockfile、pnpm -r；初期不引入重型任务编排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构建</w:t>
            </w:r>
          </w:p>
        </w:tc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Vite library mode + tsc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Vite 构建库和 playground；tsc --build 做类型与 declarations</w:t>
            </w:r>
          </w:p>
        </w:tc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API 治理</w:t>
            </w:r>
          </w:p>
        </w:tc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API Extractor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API report、.d.ts rollup、公共类型审查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单元测试</w:t>
            </w:r>
          </w:p>
        </w:tc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Vitest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core/layout/input/animation/headless、type tests、bench fixtures</w:t>
            </w:r>
          </w:p>
        </w:tc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浏览器组件测试</w:t>
            </w:r>
          </w:p>
        </w:tc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Vitest Browser Mode + Playwright provider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真实 window/document/canvas/input；Chromium PR、跨浏览器发布验证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E2E/视觉</w:t>
            </w:r>
          </w:p>
        </w:tc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Playwright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Chromium/Firefox/WebKit、trace、截图、Gate Demo smoke</w:t>
            </w:r>
          </w:p>
        </w:tc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Lint/Format</w:t>
            </w:r>
          </w:p>
        </w:tc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ESLint flat config + typescript-eslint + Prettier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架构 import 限制、correctness 与一致格式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发布</w:t>
            </w:r>
          </w:p>
        </w:tc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Changesets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版本、changelog、依赖关系和 release PR</w:t>
            </w:r>
          </w:p>
        </w:tc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文档</w:t>
            </w:r>
          </w:p>
        </w:tc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VitePress + custom Vite Playground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概念文档、API、stories、inspector 和示例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A11y 测试</w:t>
            </w:r>
          </w:p>
        </w:tc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axe-core + Playwright/Vitest Browser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DOM 语义自动检查，辅以人工键盘/读屏验收</w:t>
            </w:r>
          </w:p>
        </w:tc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外部 schema</w:t>
            </w:r>
          </w:p>
        </w:tc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JSON Schema + Ajv（可选包）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theme/manifest/protocol/action log；不进入 core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可选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GPU adapter</w:t>
            </w:r>
          </w:p>
        </w:tc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PixiJS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以 WebGL 为生产基线，作为 peer dependency</w:t>
            </w:r>
          </w:p>
        </w:tc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核心稳定后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Worker</w:t>
            </w:r>
          </w:p>
        </w:tc>
        <w:tc>
          <w:tcPr>
            <w:tcW w:type="dxa" w:w="2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OffscreenCanvas + message protocol</w:t>
            </w:r>
          </w:p>
        </w:tc>
        <w:tc>
          <w:tcPr>
            <w:tcW w:type="dxa" w:w="396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profiling 后引入；DOM renderer 仍主线程</w:t>
            </w:r>
          </w:p>
        </w:tc>
        <w:tc>
          <w:tcPr>
            <w:tcW w:type="dxa" w:w="113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后续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布局替换</w:t>
            </w:r>
          </w:p>
        </w:tc>
        <w:tc>
          <w:tcPr>
            <w:tcW w:type="dxa" w:w="260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Taffy/WASM adapter</w:t>
            </w:r>
          </w:p>
        </w:tc>
        <w:tc>
          <w:tcPr>
            <w:tcW w:type="dxa" w:w="396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仅当自研布局不能满足需求；公共 API 不暴露 Taffy 类型</w:t>
            </w:r>
          </w:p>
        </w:tc>
        <w:tc>
          <w:tcPr>
            <w:tcW w:type="dxa" w:w="113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5"/>
              </w:rPr>
              <w:t>后续</w:t>
            </w:r>
          </w:p>
        </w:tc>
      </w:tr>
    </w:tbl>
    <w:p>
      <w:pPr>
        <w:spacing w:after="0"/>
      </w:pPr>
    </w:p>
    <w:p>
      <w:pPr>
        <w:pStyle w:val="Heading2"/>
      </w:pPr>
      <w:r>
        <w:t>14.2 推荐 tsconfig 约束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基础 tsconfig（按实际工具版本调整）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"compilerOptions":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"target": "ES2022",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"module": "ESNext",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"moduleResolution": "Bundler",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"strict": true,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"noUncheckedIndexedAccess": true,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"exactOptionalPropertyTypes": true,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"verbatimModuleSyntax": true,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"isolatedDeclarations": true,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"declaration": true,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"declarationMap": true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14.3 为什么不是 React/Pixi/WebGPU-first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447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作为 core 的问题</w:t>
            </w:r>
          </w:p>
        </w:tc>
        <w:tc>
          <w:tcPr>
            <w:tcW w:type="dxa" w:w="311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正确位置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React</w:t>
            </w:r>
          </w:p>
        </w:tc>
        <w:tc>
          <w:tcPr>
            <w:tcW w:type="dxa" w:w="447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生命周期、state 和 DOM 假设会成为核心语义；Canvas/引擎后端被迫适配 React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可选 @ludoweave/react bridge、文档站或宿主编辑器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PixiJS</w:t>
            </w:r>
          </w:p>
        </w:tc>
        <w:tc>
          <w:tcPr>
            <w:tcW w:type="dxa" w:w="447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DisplayObject、Texture 和 renderer 生命周期会泄漏进组件/布局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@ludoweave/renderer-pixi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WebGPU</w:t>
            </w:r>
          </w:p>
        </w:tc>
        <w:tc>
          <w:tcPr>
            <w:tcW w:type="dxa" w:w="447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兼容、部署、安全上下文和实现成熟度不足以成为唯一后端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后续 renderer，带 feature detection 与 fallback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Rust/WASM</w:t>
            </w:r>
          </w:p>
        </w:tc>
        <w:tc>
          <w:tcPr>
            <w:tcW w:type="dxa" w:w="447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早期调试、构建、类型桥接与 AI 可读性成本高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性能热点或可选布局 adapter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完整 CSS</w:t>
            </w:r>
          </w:p>
        </w:tc>
        <w:tc>
          <w:tcPr>
            <w:tcW w:type="dxa" w:w="447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实现范围巨大，跨 renderer 复现代价高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只吸收熟悉术语和必要游戏 UI 子集</w:t>
            </w:r>
          </w:p>
        </w:tc>
      </w:tr>
    </w:tbl>
    <w:p>
      <w:pPr>
        <w:spacing w:after="0"/>
      </w:pPr>
    </w:p>
    <w:p>
      <w:pPr>
        <w:pStyle w:val="Heading2"/>
      </w:pPr>
      <w:r>
        <w:t>14.4 CI 建议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每个 release candidate 的质量流水线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pnpm install --frozen-lockfile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format:check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lint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typecheck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test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test:browser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test:boundaries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test:conformance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build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api-check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size-check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test:e2e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pnpm pack:smoke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15. Sinan 第一方集成设计</w:t>
      </w:r>
    </w:p>
    <w:p>
      <w:pPr>
        <w:pStyle w:val="Heading2"/>
      </w:pPr>
      <w:r>
        <w:t>15.1 所有权边界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00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Sinan 拥有</w:t>
            </w:r>
          </w:p>
        </w:tc>
        <w:tc>
          <w:tcPr>
            <w:tcW w:type="dxa" w:w="300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LudoWeave 拥有</w:t>
            </w:r>
          </w:p>
        </w:tc>
        <w:tc>
          <w:tcPr>
            <w:tcW w:type="dxa" w:w="300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适配层拥有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项目 JSON、Zod schema、Entity/Event/Timeline/CameraShot、command、undo/redo、dirty/save、Three runtime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UiNode、layout、style、focus、input behavior、animation、semantics、renderers、testing</w:t>
            </w:r>
          </w:p>
        </w:tc>
        <w:tc>
          <w:tcPr>
            <w:tcW w:type="dxa" w:w="300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ViewModel mapping、Action→Command/Event、AssetRef、theme、input mode、validation error 映射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3D6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FFF3D6"/>
              <w:left w:val="single" w:sz="18" w:color="C7682A"/>
              <w:bottom w:val="single" w:sz="2" w:color="FFF3D6"/>
              <w:right w:val="single" w:sz="2" w:color="FFF3D6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C7682A"/>
                <w:sz w:val="21"/>
              </w:rPr>
              <w:t>硬边界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@ludoweave/core、components 与 renderer-* 不允许 import Sinan、React editor store 或 Three.js。@ludoweave/sinan 可以依赖双方公共 API，但不得绕过 Sinan command/save/undo 模型直接修改项目数据。</w:t>
            </w:r>
          </w:p>
        </w:tc>
      </w:tr>
    </w:tbl>
    <w:p>
      <w:pPr>
        <w:spacing w:after="0"/>
      </w:pPr>
    </w:p>
    <w:p>
      <w:pPr>
        <w:pStyle w:val="Heading2"/>
      </w:pPr>
      <w:r>
        <w:t>15.2 数据流</w:t>
      </w:r>
    </w:p>
    <w:p>
      <w:pPr>
        <w:keepNext/>
      </w:pPr>
      <w:r>
        <w:rPr>
          <w:rFonts w:ascii="Aptos" w:hAnsi="Aptos" w:eastAsia="Microsoft YaHei"/>
          <w:b/>
          <w:color w:val="526779"/>
          <w:sz w:val="17"/>
        </w:rPr>
        <w:t>Sinan 集成数据流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Sinan Project / Runtime State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  ↓  buildUiViewModel()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LudoWeave UiApp.view(model)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  ↓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UiNode → Resolve/Layout → Renderer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  ↓ user input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LudoWeave Action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  ↓  SinanUiActionBridge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Sinan Command | Runtime Event | Director Cue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    ↓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Undo / Redo / Dirty / Save / Runtime</w:t>
            </w:r>
          </w:p>
        </w:tc>
      </w:tr>
    </w:tbl>
    <w:p>
      <w:pPr>
        <w:spacing w:after="0"/>
      </w:pPr>
    </w:p>
    <w:p>
      <w:pPr>
        <w:pStyle w:val="Heading2"/>
      </w:pPr>
      <w:r>
        <w:t>15.3 第一阶段 POC：Gate Demo Runtime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08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数据来源</w:t>
            </w:r>
          </w:p>
        </w:tc>
        <w:tc>
          <w:tcPr>
            <w:tcW w:type="dxa" w:w="266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Action/输出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InteractionPrompt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附近可交互目标、输入映射、当前 input modality</w:t>
            </w:r>
          </w:p>
        </w:tc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interact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Subtitle</w:t>
            </w:r>
          </w:p>
        </w:tc>
        <w:tc>
          <w:tcPr>
            <w:tcW w:type="dxa" w:w="408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Timeline/Director 当前字幕状态</w:t>
            </w:r>
          </w:p>
        </w:tc>
        <w:tc>
          <w:tcPr>
            <w:tcW w:type="dxa" w:w="266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dismiss 或无 action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ObjectiveTracker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关卡/事件 ViewModel</w:t>
            </w:r>
          </w:p>
        </w:tc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open details（可选）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PauseMenu</w:t>
            </w:r>
          </w:p>
        </w:tc>
        <w:tc>
          <w:tcPr>
            <w:tcW w:type="dxa" w:w="408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runtime pause state、settings</w:t>
            </w:r>
          </w:p>
        </w:tc>
        <w:tc>
          <w:tcPr>
            <w:tcW w:type="dxa" w:w="266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resume、settings change、quit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DebugOverlay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diagnostics、fps、selected entity（开发模式）</w:t>
            </w:r>
          </w:p>
        </w:tc>
        <w:tc>
          <w:tcPr>
            <w:tcW w:type="dxa" w:w="266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toggle diagnostics</w:t>
            </w:r>
          </w:p>
        </w:tc>
      </w:tr>
    </w:tbl>
    <w:p>
      <w:pPr>
        <w:spacing w:after="0"/>
      </w:pPr>
    </w:p>
    <w:p>
      <w:pPr>
        <w:pStyle w:val="ListBullet"/>
        <w:ind w:left="369" w:hanging="170"/>
      </w:pPr>
      <w:r>
        <w:rPr>
          <w:rFonts w:ascii="Aptos" w:hAnsi="Aptos" w:eastAsia="Microsoft YaHei"/>
        </w:rPr>
        <w:t>UI config 不改变现有 Sinan 项目数据格式，除非通过独立 RFC 增加可验证字段。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字幕与 Timeline 的 scrub 必须可重建；不能依赖一次性 callback 才能显示正确状态。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editor input、viewport tool input、runtime gameplay input 和 modal UI input 明确分层。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POC 同时在 Standalone Playground 运行相同 Subtitle/Prompt 组件。</w:t>
      </w:r>
    </w:p>
    <w:p>
      <w:pPr>
        <w:pStyle w:val="Heading2"/>
      </w:pPr>
      <w:r>
        <w:t>15.4 第二阶段：低风险编辑器集成</w:t>
      </w:r>
    </w:p>
    <w:p>
      <w:r>
        <w:rPr>
          <w:rFonts w:ascii="Aptos" w:hAnsi="Aptos" w:eastAsia="Microsoft YaHei"/>
        </w:rPr>
        <w:t>在 runtime UI 通过后，可以选择 AssetPanel 或 CameraShotPanel 的局部控件验证 DOM renderer、focus、validation path 与 command adapter。此阶段不重写整个 React 编辑器，不把 dock、Timeline editor 和所有表单纳入首批范围。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38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652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数据</w:t>
            </w:r>
          </w:p>
        </w:tc>
        <w:tc>
          <w:tcPr>
            <w:tcW w:type="dxa" w:w="6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保存格式不变；所有 mutation 仍走 Sinan command</w:t>
            </w:r>
          </w:p>
        </w:tc>
      </w:tr>
      <w:tr>
        <w:trPr>
          <w:cantSplit/>
        </w:trPr>
        <w:tc>
          <w:tcPr>
            <w:tcW w:type="dxa" w:w="238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Undo/Redo</w:t>
            </w:r>
          </w:p>
        </w:tc>
        <w:tc>
          <w:tcPr>
            <w:tcW w:type="dxa" w:w="652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LudoWeave Action 转换为可撤销 command；组件不持有历史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Validation</w:t>
            </w:r>
          </w:p>
        </w:tc>
        <w:tc>
          <w:tcPr>
            <w:tcW w:type="dxa" w:w="6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Zod/reference error 映射为 field/path diagnostics</w:t>
            </w:r>
          </w:p>
        </w:tc>
      </w:tr>
      <w:tr>
        <w:trPr>
          <w:cantSplit/>
        </w:trPr>
        <w:tc>
          <w:tcPr>
            <w:tcW w:type="dxa" w:w="238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Focus</w:t>
            </w:r>
          </w:p>
        </w:tc>
        <w:tc>
          <w:tcPr>
            <w:tcW w:type="dxa" w:w="6520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窄屏、键盘导航、modal/context menu 无冲突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测试</w:t>
            </w:r>
          </w:p>
        </w:tc>
        <w:tc>
          <w:tcPr>
            <w:tcW w:type="dxa" w:w="6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Vitest adapter tests + Playwright editor smoke</w:t>
            </w:r>
          </w:p>
        </w:tc>
      </w:tr>
    </w:tbl>
    <w:p>
      <w:pPr>
        <w:spacing w:after="0"/>
      </w:pPr>
    </w:p>
    <w:p>
      <w:pPr>
        <w:pStyle w:val="Heading2"/>
      </w:pPr>
      <w:r>
        <w:t>15.5 合作治理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双方共享小型 RFC：契约、失败模式、版本范围、示例和测试先于代码合并。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适配包可由联合维护组负责，但 core API 变更必须同时通过非 Sinan 宿主验证。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建立兼容矩阵：LudoWeave core × @ludoweave/sinan × Sinan release。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不做排他绑定；Sinan 可以继续使用 React 编辑器，LudoWeave 可以服务其他引擎。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任何“为了 Sinan 方便”而新增的 core API，必须能用通用术语说明，并有第二宿主用例。</w:t>
      </w:r>
    </w:p>
    <w:p>
      <w:pPr>
        <w:pStyle w:val="Heading1"/>
        <w:pBdr>
          <w:bottom w:val="single" w:sz="10" w:space="4" w:color="0D7C75"/>
        </w:pBdr>
      </w:pPr>
      <w:r>
        <w:t>16. 测试、性能、AI 与质量门禁</w:t>
      </w:r>
    </w:p>
    <w:p>
      <w:pPr>
        <w:pStyle w:val="Heading2"/>
      </w:pPr>
      <w:r>
        <w:t>16.1 测试金字塔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81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测试类型</w:t>
            </w:r>
          </w:p>
        </w:tc>
        <w:tc>
          <w:tcPr>
            <w:tcW w:type="dxa" w:w="277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40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主要断言</w:t>
            </w:r>
          </w:p>
        </w:tc>
        <w:tc>
          <w:tcPr>
            <w:tcW w:type="dxa" w:w="147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工具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Pure unit</w:t>
            </w:r>
          </w:p>
        </w:tc>
        <w:tc>
          <w:tcPr>
            <w:tcW w:type="dxa" w:w="27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token、layout、focus scoring、animation math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确定性值、边界条件、property-based fixtures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Vitest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Component snapshot</w:t>
            </w:r>
          </w:p>
        </w:tc>
        <w:tc>
          <w:tcPr>
            <w:tcW w:type="dxa" w:w="277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props/model → UiNode</w:t>
            </w:r>
          </w:p>
        </w:tc>
        <w:tc>
          <w:tcPr>
            <w:tcW w:type="dxa" w:w="340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结构、key、semantics、ActionRef</w:t>
            </w:r>
          </w:p>
        </w:tc>
        <w:tc>
          <w:tcPr>
            <w:tcW w:type="dxa" w:w="147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Vitest + headless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Interaction</w:t>
            </w:r>
          </w:p>
        </w:tc>
        <w:tc>
          <w:tcPr>
            <w:tcW w:type="dxa" w:w="27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输入序列 → action log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capture/bubble、press/cancel、modal、gamepad repeat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@ludoweave/testing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Renderer conformance</w:t>
            </w:r>
          </w:p>
        </w:tc>
        <w:tc>
          <w:tcPr>
            <w:tcW w:type="dxa" w:w="277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golden frame → backend</w:t>
            </w:r>
          </w:p>
        </w:tc>
        <w:tc>
          <w:tcPr>
            <w:tcW w:type="dxa" w:w="340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box、clip、z、text 容差、focus/action</w:t>
            </w:r>
          </w:p>
        </w:tc>
        <w:tc>
          <w:tcPr>
            <w:tcW w:type="dxa" w:w="147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Browser Mode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A11y</w:t>
            </w:r>
          </w:p>
        </w:tc>
        <w:tc>
          <w:tcPr>
            <w:tcW w:type="dxa" w:w="27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DOM/overlay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role/name/state、keyboard、axe rules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axe-core + Playwright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Visual regression</w:t>
            </w:r>
          </w:p>
        </w:tc>
        <w:tc>
          <w:tcPr>
            <w:tcW w:type="dxa" w:w="277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stories</w:t>
            </w:r>
          </w:p>
        </w:tc>
        <w:tc>
          <w:tcPr>
            <w:tcW w:type="dxa" w:w="340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关键 viewport 截图差异</w:t>
            </w:r>
          </w:p>
        </w:tc>
        <w:tc>
          <w:tcPr>
            <w:tcW w:type="dxa" w:w="147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Playwright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E2E</w:t>
            </w:r>
          </w:p>
        </w:tc>
        <w:tc>
          <w:tcPr>
            <w:tcW w:type="dxa" w:w="27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真实用户流程</w:t>
            </w:r>
          </w:p>
        </w:tc>
        <w:tc>
          <w:tcPr>
            <w:tcW w:type="dxa" w:w="340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菜单、HUD、文本输入、Gate Demo</w:t>
            </w:r>
          </w:p>
        </w:tc>
        <w:tc>
          <w:tcPr>
            <w:tcW w:type="dxa" w:w="147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Playwright</w:t>
            </w:r>
          </w:p>
        </w:tc>
      </w:tr>
      <w:tr>
        <w:trPr>
          <w:cantSplit/>
        </w:trPr>
        <w:tc>
          <w:tcPr>
            <w:tcW w:type="dxa" w:w="181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API/package</w:t>
            </w:r>
          </w:p>
        </w:tc>
        <w:tc>
          <w:tcPr>
            <w:tcW w:type="dxa" w:w="277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published artifacts</w:t>
            </w:r>
          </w:p>
        </w:tc>
        <w:tc>
          <w:tcPr>
            <w:tcW w:type="dxa" w:w="340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exports、types、SemVer、install smoke</w:t>
            </w:r>
          </w:p>
        </w:tc>
        <w:tc>
          <w:tcPr>
            <w:tcW w:type="dxa" w:w="147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API Extractor + publint</w:t>
            </w:r>
          </w:p>
        </w:tc>
      </w:tr>
    </w:tbl>
    <w:p>
      <w:pPr>
        <w:spacing w:after="0"/>
      </w:pPr>
    </w:p>
    <w:p>
      <w:pPr>
        <w:pStyle w:val="Heading2"/>
      </w:pPr>
      <w:r>
        <w:t>16.2 性能预算（初始目标）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F5F7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F3F5F7"/>
              <w:left w:val="single" w:sz="18" w:color="6B7D8C"/>
              <w:bottom w:val="single" w:sz="2" w:color="F3F5F7"/>
              <w:right w:val="single" w:sz="2" w:color="F3F5F7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6B7D8C"/>
                <w:sz w:val="21"/>
              </w:rPr>
              <w:t>说明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以下是 v1 工程预算，应由固定 reference hardware 和公开 benchmark fixture 持续校准。达不到时先 profiling，再决定是否引入 Worker、WASM 或更复杂批处理。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3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06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典型 HUD 节点数</w:t>
            </w:r>
          </w:p>
        </w:tc>
        <w:tc>
          <w:tcPr>
            <w:tcW w:type="dxa" w:w="606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500 可见节点；复杂菜单 1,500 节点，长列表必须虚拟化</w:t>
            </w:r>
          </w:p>
        </w:tc>
      </w:tr>
      <w:tr>
        <w:trPr>
          <w:cantSplit/>
        </w:trPr>
        <w:tc>
          <w:tcPr>
            <w:tcW w:type="dxa" w:w="283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交互延迟</w:t>
            </w:r>
          </w:p>
        </w:tc>
        <w:tc>
          <w:tcPr>
            <w:tcW w:type="dxa" w:w="6066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输入到 Action 分派同一帧；不因 renderer 资源加载阻塞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Core update</w:t>
            </w:r>
          </w:p>
        </w:tc>
        <w:tc>
          <w:tcPr>
            <w:tcW w:type="dxa" w:w="606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500 节点结构稳定更新时，reconcile + resolve + layout p95 ≤ 3 ms（参考桌面）</w:t>
            </w:r>
          </w:p>
        </w:tc>
      </w:tr>
      <w:tr>
        <w:trPr>
          <w:cantSplit/>
        </w:trPr>
        <w:tc>
          <w:tcPr>
            <w:tcW w:type="dxa" w:w="283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渲染提交</w:t>
            </w:r>
          </w:p>
        </w:tc>
        <w:tc>
          <w:tcPr>
            <w:tcW w:type="dxa" w:w="6066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典型 HUD renderer submit p95 ≤ 3 ms；总 UI 主线程预算建议 ≤ 6 ms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空闲成本</w:t>
            </w:r>
          </w:p>
        </w:tc>
        <w:tc>
          <w:tcPr>
            <w:tcW w:type="dxa" w:w="606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Model、viewport、animation 均无变化时不重建树、不重布局</w:t>
            </w:r>
          </w:p>
        </w:tc>
      </w:tr>
      <w:tr>
        <w:trPr>
          <w:cantSplit/>
        </w:trPr>
        <w:tc>
          <w:tcPr>
            <w:tcW w:type="dxa" w:w="283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Bundle</w:t>
            </w:r>
          </w:p>
        </w:tc>
        <w:tc>
          <w:tcPr>
            <w:tcW w:type="dxa" w:w="6066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core+layout 初始预算 ≤ 80 KiB gzip；单基础 renderer ≤ 60 KiB gzip，peer deps 不计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内存</w:t>
            </w:r>
          </w:p>
        </w:tc>
        <w:tc>
          <w:tcPr>
            <w:tcW w:type="dxa" w:w="606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列表离屏节点不保留 renderer 重资源；asset cache 有显式上限和 dispose</w:t>
            </w:r>
          </w:p>
        </w:tc>
      </w:tr>
    </w:tbl>
    <w:p>
      <w:pPr>
        <w:spacing w:after="0"/>
      </w:pPr>
    </w:p>
    <w:p>
      <w:pPr>
        <w:pStyle w:val="Heading2"/>
      </w:pPr>
      <w:r>
        <w:t>16.3 AI 友好不是宣传语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每个公共组件包含 props 注释、最小 story、交互测试和失败示例。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自动生成 API manifest 与稳定示例，供 coding agent 精确检索。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所有关键交互可输出 action log；测试可固定 clock、viewport、locale 和 assets。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禁止把业务规则隐藏在编辑器绑定、运行时对象或动态字符串脚本中。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建立 Agent Benchmark：新增组件、修改主题、修复 focus、迁移 API、接入宿主，记录首次成功率和无关 diff。</w:t>
      </w:r>
    </w:p>
    <w:p>
      <w:pPr>
        <w:pStyle w:val="Heading2"/>
      </w:pPr>
      <w:r>
        <w:t>16.4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2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交付项</w:t>
            </w:r>
          </w:p>
        </w:tc>
        <w:tc>
          <w:tcPr>
            <w:tcW w:type="dxa" w:w="6633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新组件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类型、story、snapshot、keyboard/gamepad tests、semantics、文档齐全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新 renderer</w:t>
            </w:r>
          </w:p>
        </w:tc>
        <w:tc>
          <w:tcPr>
            <w:tcW w:type="dxa" w:w="6633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通过 conformance suite、资源 dispose、resize/DPR、错误恢复和 E2E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新 adapter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无 core 反向依赖；有 contract tests、兼容矩阵和 standalone example</w:t>
            </w:r>
          </w:p>
        </w:tc>
      </w:tr>
      <w:tr>
        <w:trPr>
          <w:cantSplit/>
        </w:trPr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公共 API 变更</w:t>
            </w:r>
          </w:p>
        </w:tc>
        <w:tc>
          <w:tcPr>
            <w:tcW w:type="dxa" w:w="6633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API report 审查、changeset、migration note、至少一个消费项目编译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Sinan POC</w:t>
            </w:r>
          </w:p>
        </w:tc>
        <w:tc>
          <w:tcPr>
            <w:tcW w:type="dxa" w:w="6633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Gate Demo 功能通过、保存/重载不破坏、input 不穿透、同组件可独立运行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17. 安全性、容错与可观测性</w:t>
      </w:r>
    </w:p>
    <w:p>
      <w:pPr>
        <w:pStyle w:val="Heading2"/>
      </w:pPr>
      <w:r>
        <w:t>17.1 安全默认值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Text 默认按纯文本处理；DOM renderer 使用 textContent，不接受任意 HTML。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不执行 eval、Function、脚本字符串或从项目数据加载的任意代码。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外部资源 URL 由 Host 的 AssetResolver 和 CSP/allowlist 策略控制。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自定义 renderer plugin 必须有明确 plugin id、payload schema 和 fallback。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剪贴板、全屏、音频和文本输入等浏览器能力都通过 Host capability，尊重用户手势限制。</w:t>
      </w:r>
    </w:p>
    <w:p>
      <w:pPr>
        <w:pStyle w:val="Heading2"/>
      </w:pPr>
      <w:r>
        <w:t>17.2 错误与降级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4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错误</w:t>
            </w:r>
          </w:p>
        </w:tc>
        <w:tc>
          <w:tcPr>
            <w:tcW w:type="dxa" w:w="317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开发模式</w:t>
            </w:r>
          </w:p>
        </w:tc>
        <w:tc>
          <w:tcPr>
            <w:tcW w:type="dxa" w:w="323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生产模式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缺失 asset</w:t>
            </w:r>
          </w:p>
        </w:tc>
        <w:tc>
          <w:tcPr>
            <w:tcW w:type="dxa" w:w="317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详细 diagnostic + placeholder + stack/owner path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稳定 placeholder + 限流日志</w:t>
            </w:r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非法 layout</w:t>
            </w:r>
          </w:p>
        </w:tc>
        <w:tc>
          <w:tcPr>
            <w:tcW w:type="dxa" w:w="317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抛出可定位 validation error 或测试失败</w:t>
            </w:r>
          </w:p>
        </w:tc>
        <w:tc>
          <w:tcPr>
            <w:tcW w:type="dxa" w:w="323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clamp/skip offending node + diagnostic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renderer context lost</w:t>
            </w:r>
          </w:p>
        </w:tc>
        <w:tc>
          <w:tcPr>
            <w:tcW w:type="dxa" w:w="317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可重现日志和资源统计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尝试重建；失败切换 fallback surface</w:t>
            </w:r>
          </w:p>
        </w:tc>
      </w:tr>
      <w:tr>
        <w:trPr>
          <w:cantSplit/>
        </w:trPr>
        <w:tc>
          <w:tcPr>
            <w:tcW w:type="dxa" w:w="249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不支持 capability</w:t>
            </w:r>
          </w:p>
        </w:tc>
        <w:tc>
          <w:tcPr>
            <w:tcW w:type="dxa" w:w="3175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严格警告并指明降级</w:t>
            </w:r>
          </w:p>
        </w:tc>
        <w:tc>
          <w:tcPr>
            <w:tcW w:type="dxa" w:w="323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按 policy 近似或禁用非关键效果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组件异常</w:t>
            </w:r>
          </w:p>
        </w:tc>
        <w:tc>
          <w:tcPr>
            <w:tcW w:type="dxa" w:w="3175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owner path 和 props 摘要</w:t>
            </w:r>
          </w:p>
        </w:tc>
        <w:tc>
          <w:tcPr>
            <w:tcW w:type="dxa" w:w="323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7"/>
              </w:rPr>
              <w:t>ErrorBoundary 替换局部子树，保持其他 UI 可用</w:t>
            </w:r>
          </w:p>
        </w:tc>
      </w:tr>
    </w:tbl>
    <w:p>
      <w:pPr>
        <w:spacing w:after="0"/>
      </w:pPr>
    </w:p>
    <w:p>
      <w:pPr>
        <w:pStyle w:val="Heading2"/>
      </w:pPr>
      <w:r>
        <w:t>17.3 可观测性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DiagnosticSink：统一收集 error/warn/info，包含 node id、owner path、surface、renderer 和 frame id。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Profiler：统计 view、reconcile、style、measure、layout、paint compile、renderer submit 和 asset stalls。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DevTools protocol：树、box、focus graph、action log、dirty reason 和 renderer capabilities 可查看。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生产构建可关闭高成本 owner/debug metadata，但保留有限错误码和统计 hook。</w:t>
      </w:r>
    </w:p>
    <w:p>
      <w:pPr>
        <w:pStyle w:val="Heading1"/>
        <w:pBdr>
          <w:bottom w:val="single" w:sz="10" w:space="4" w:color="0D7C75"/>
        </w:pBdr>
      </w:pPr>
      <w:r>
        <w:t>18. MVP 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9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64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主要交付</w:t>
            </w:r>
          </w:p>
        </w:tc>
        <w:tc>
          <w:tcPr>
            <w:tcW w:type="dxa" w:w="22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退出标准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Phase 0：RFC 与基线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核心类型、依赖规则、benchmark fixtures、repo/CI、Sinan POC contract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 评审完成；空包发布和消费 smoke 通过</w:t>
            </w:r>
          </w:p>
        </w:tc>
      </w:tr>
      <w:tr>
        <w:trPr>
          <w:cantSplit/>
        </w:trPr>
        <w:tc>
          <w:tcPr>
            <w:tcW w:type="dxa" w:w="198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Phase 1：Headless Core</w:t>
            </w:r>
          </w:p>
        </w:tc>
        <w:tc>
          <w:tcPr>
            <w:tcW w:type="dxa" w:w="464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UiNode、ActionRef、reconcile、transient state、basic layout、headless frame</w:t>
            </w:r>
          </w:p>
        </w:tc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MainMenu/BattleHud 在 headless 中产生稳定 frame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Phase 2：DOM + Components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DOM renderer、Button/Dialog/Scroll/VirtualList、focus、native text input、a11y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设置页、暂停菜单、表单、键盘流程通过</w:t>
            </w:r>
          </w:p>
        </w:tc>
      </w:tr>
      <w:tr>
        <w:trPr>
          <w:cantSplit/>
        </w:trPr>
        <w:tc>
          <w:tcPr>
            <w:tcW w:type="dxa" w:w="198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Phase 3：Canvas2D + Input</w:t>
            </w:r>
          </w:p>
        </w:tc>
        <w:tc>
          <w:tcPr>
            <w:tcW w:type="dxa" w:w="464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Canvas renderer、nine-slice、text/image、pointer/gamepad/modal</w:t>
            </w:r>
          </w:p>
        </w:tc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HUD、字幕、技能栏流畅；renderer conformance 通过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Phase 4：Sinan Gate Demo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@ludoweave/sinan、Prompt/Subtitle/Objective/Pause、Timeline 与 input bridge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保存重载正常；Playwright Gate Demo smoke 通过</w:t>
            </w:r>
          </w:p>
        </w:tc>
      </w:tr>
      <w:tr>
        <w:trPr>
          <w:cantSplit/>
        </w:trPr>
        <w:tc>
          <w:tcPr>
            <w:tcW w:type="dxa" w:w="198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Phase 5：第三宿主与 DevTools</w:t>
            </w:r>
          </w:p>
        </w:tc>
        <w:tc>
          <w:tcPr>
            <w:tcW w:type="dxa" w:w="464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Phaser/其他宿主示例、inspector、action log、profiler</w:t>
            </w:r>
          </w:p>
        </w:tc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同组件三宿主复用，证明非 Sinan 专用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Phase 6：v1 稳定化</w:t>
            </w:r>
          </w:p>
        </w:tc>
        <w:tc>
          <w:tcPr>
            <w:tcW w:type="dxa" w:w="4649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API freeze、docs、release checks、accessibility/performance review</w:t>
            </w:r>
          </w:p>
        </w:tc>
        <w:tc>
          <w:tcPr>
            <w:tcW w:type="dxa" w:w="22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v1.0 发布门禁全部通过</w:t>
            </w:r>
          </w:p>
        </w:tc>
      </w:tr>
      <w:tr>
        <w:trPr>
          <w:cantSplit/>
        </w:trPr>
        <w:tc>
          <w:tcPr>
            <w:tcW w:type="dxa" w:w="1984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Post-v1</w:t>
            </w:r>
          </w:p>
        </w:tc>
        <w:tc>
          <w:tcPr>
            <w:tcW w:type="dxa" w:w="4649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Pixi/WebGL、WebGPU、Worker、Taffy/WASM、复杂文本/动画</w:t>
            </w:r>
          </w:p>
        </w:tc>
        <w:tc>
          <w:tcPr>
            <w:tcW w:type="dxa" w:w="226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仅由实测瓶颈和用户需求触发</w:t>
            </w:r>
          </w:p>
        </w:tc>
      </w:tr>
    </w:tbl>
    <w:p>
      <w:pPr>
        <w:spacing w:after="0"/>
      </w:pPr>
    </w:p>
    <w:p>
      <w:pPr>
        <w:pStyle w:val="Heading2"/>
      </w:pPr>
      <w:r>
        <w:t>18.1 建议的首批 Demo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Standalone：Main Menu、Settings、Battle HUD、Inventory、Text Input Lab、Gamepad Focus Lab。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Sinan：Gate Demo HUD，包括 Prompt、Subtitle、Objective 和 Pause Menu。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第三宿主：一个 Phaser 或纯 Canvas 小游戏，复用 Button、Dialog、HUD 和主题。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Renderer Lab：同一 story 同时显示 Headless tree、DOM、Canvas 和 Pixi（后续）结果。</w:t>
      </w:r>
    </w:p>
    <w:p>
      <w:pPr>
        <w:pStyle w:val="Heading1"/>
        <w:pBdr>
          <w:bottom w:val="single" w:sz="10" w:space="4" w:color="0D7C75"/>
        </w:pBdr>
      </w:pPr>
      <w:r>
        <w:t>19. 风险清单与架构决策</w:t>
      </w:r>
    </w:p>
    <w:p>
      <w:pPr>
        <w:pStyle w:val="Heading2"/>
      </w:pPr>
      <w:r>
        <w:t>19.1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70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11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触发信号</w:t>
            </w:r>
          </w:p>
        </w:tc>
        <w:tc>
          <w:tcPr>
            <w:tcW w:type="dxa" w:w="408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缓解策略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过度抽象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长期只有 demo，没有真实宿主需求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Sinan + 第三宿主共同驱动；每个 core API 至少两个用例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被 Sinan 过拟合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core 出现 editor store、Three 或 Sinan schema 类型</w:t>
            </w:r>
          </w:p>
        </w:tc>
        <w:tc>
          <w:tcPr>
            <w:tcW w:type="dxa" w:w="408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boundary CI；专用逻辑只在 adapter；非 Sinan conformance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布局范围失控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开始追逐全部 CSS 规范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明确子集；复杂需求通过 adapter 或 DOM-only component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renderer 漂移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同组件交互或 box 在后端不一致</w:t>
            </w:r>
          </w:p>
        </w:tc>
        <w:tc>
          <w:tcPr>
            <w:tcW w:type="dxa" w:w="408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ResolvedUiFrame + conformance suite + 容差定义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文本质量不足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CJK/RTL/IME 在 Canvas 失败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native input overlay；高要求文本优先 DOM；逐步引入 shaping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无障碍成为补丁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Canvas UI 无语义、键盘不可用</w:t>
            </w:r>
          </w:p>
        </w:tc>
        <w:tc>
          <w:tcPr>
            <w:tcW w:type="dxa" w:w="408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Semantics 从组件源头生成；组件 DoD 包含 a11y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两个项目维护成本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文档、issue、版本矩阵过重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同组织共享 CI/RFC；包边界独立；小而稳定的适配接口</w:t>
            </w:r>
          </w:p>
        </w:tc>
      </w:tr>
      <w:tr>
        <w:trPr>
          <w:cantSplit/>
        </w:trPr>
        <w:tc>
          <w:tcPr>
            <w:tcW w:type="dxa" w:w="1701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性能过早优化</w:t>
            </w:r>
          </w:p>
        </w:tc>
        <w:tc>
          <w:tcPr>
            <w:tcW w:type="dxa" w:w="3118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过早引入 WASM/Worker/GPU 复杂度</w:t>
            </w:r>
          </w:p>
        </w:tc>
        <w:tc>
          <w:tcPr>
            <w:tcW w:type="dxa" w:w="4082"/>
            <w:shd w:fill="F8FAFB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先 benchmark 和 profiler；由数据触发增强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公共 API 漂移</w:t>
            </w:r>
          </w:p>
        </w:tc>
        <w:tc>
          <w:tcPr>
            <w:tcW w:type="dxa" w:w="311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用户无法升级</w:t>
            </w:r>
          </w:p>
        </w:tc>
        <w:tc>
          <w:tcPr>
            <w:tcW w:type="dxa" w:w="408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API Extractor、Changesets、migration tests、v1 freeze</w:t>
            </w:r>
          </w:p>
        </w:tc>
      </w:tr>
    </w:tbl>
    <w:p>
      <w:pPr>
        <w:spacing w:after="0"/>
      </w:pPr>
    </w:p>
    <w:p>
      <w:pPr>
        <w:pStyle w:val="Heading2"/>
      </w:pPr>
      <w:r>
        <w:t>19.2 关键 ADR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304"/>
            <w:shd w:fill="17324D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ADR</w:t>
            </w:r>
          </w:p>
        </w:tc>
        <w:tc>
          <w:tcPr>
            <w:tcW w:type="dxa" w:w="6406"/>
            <w:shd w:fill="17324D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1191"/>
            <w:shd w:fill="17324D"/>
            <w:tcMar>
              <w:top w:w="58" w:type="dxa"/>
              <w:start w:w="90" w:type="dxa"/>
              <w:bottom w:w="58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304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ADR-001</w:t>
            </w:r>
          </w:p>
        </w:tc>
        <w:tc>
          <w:tcPr>
            <w:tcW w:type="dxa" w:w="6406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LudoWeave 独立维护，Sinan 为第一方参考宿主</w:t>
            </w:r>
          </w:p>
        </w:tc>
        <w:tc>
          <w:tcPr>
            <w:tcW w:type="dxa" w:w="1191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ADR-002</w:t>
            </w:r>
          </w:p>
        </w:tc>
        <w:tc>
          <w:tcPr>
            <w:tcW w:type="dxa" w:w="6406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TypeScript + ESM-first；core 不依赖 UI 框架或游戏引擎</w:t>
            </w:r>
          </w:p>
        </w:tc>
        <w:tc>
          <w:tcPr>
            <w:tcW w:type="dxa" w:w="1191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ADR-003</w:t>
            </w:r>
          </w:p>
        </w:tc>
        <w:tc>
          <w:tcPr>
            <w:tcW w:type="dxa" w:w="6406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UiNode + ResolvedUiFrame 是核心中间表示</w:t>
            </w:r>
          </w:p>
        </w:tc>
        <w:tc>
          <w:tcPr>
            <w:tcW w:type="dxa" w:w="1191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ADR-004</w:t>
            </w:r>
          </w:p>
        </w:tc>
        <w:tc>
          <w:tcPr>
            <w:tcW w:type="dxa" w:w="6406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ActionRef/Effect 代替组件直接副作用</w:t>
            </w:r>
          </w:p>
        </w:tc>
        <w:tc>
          <w:tcPr>
            <w:tcW w:type="dxa" w:w="1191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ADR-005</w:t>
            </w:r>
          </w:p>
        </w:tc>
        <w:tc>
          <w:tcPr>
            <w:tcW w:type="dxa" w:w="6406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Core 拥有主布局；DOM 不形成第二布局事实源</w:t>
            </w:r>
          </w:p>
        </w:tc>
        <w:tc>
          <w:tcPr>
            <w:tcW w:type="dxa" w:w="1191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ADR-006</w:t>
            </w:r>
          </w:p>
        </w:tc>
        <w:tc>
          <w:tcPr>
            <w:tcW w:type="dxa" w:w="6406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Headless、DOM、Canvas2D 为 v1 基线；Pixi/WebGPU 后置</w:t>
            </w:r>
          </w:p>
        </w:tc>
        <w:tc>
          <w:tcPr>
            <w:tcW w:type="dxa" w:w="1191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ADR-007</w:t>
            </w:r>
          </w:p>
        </w:tc>
        <w:tc>
          <w:tcPr>
            <w:tcW w:type="dxa" w:w="6406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业务状态外置；runtime 只拥有瞬态交互与动画状态</w:t>
            </w:r>
          </w:p>
        </w:tc>
        <w:tc>
          <w:tcPr>
            <w:tcW w:type="dxa" w:w="1191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ADR-008</w:t>
            </w:r>
          </w:p>
        </w:tc>
        <w:tc>
          <w:tcPr>
            <w:tcW w:type="dxa" w:w="6406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Canvas/GPU 文本编辑使用原生 DOM input overlay</w:t>
            </w:r>
          </w:p>
        </w:tc>
        <w:tc>
          <w:tcPr>
            <w:tcW w:type="dxa" w:w="1191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ADR-009</w:t>
            </w:r>
          </w:p>
        </w:tc>
        <w:tc>
          <w:tcPr>
            <w:tcW w:type="dxa" w:w="6406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JSON Schema/Ajv 为可选外部协议层，不进入 core</w:t>
            </w:r>
          </w:p>
        </w:tc>
        <w:tc>
          <w:tcPr>
            <w:tcW w:type="dxa" w:w="1191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  <w:tr>
        <w:trPr>
          <w:cantSplit/>
        </w:trPr>
        <w:tc>
          <w:tcPr>
            <w:tcW w:type="dxa" w:w="1304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ADR-010</w:t>
            </w:r>
          </w:p>
        </w:tc>
        <w:tc>
          <w:tcPr>
            <w:tcW w:type="dxa" w:w="6406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任何 host-specific API 进入 core 前必须有第二宿主证明</w:t>
            </w:r>
          </w:p>
        </w:tc>
        <w:tc>
          <w:tcPr>
            <w:tcW w:type="dxa" w:w="1191"/>
            <w:shd w:fill="F8FAFB"/>
            <w:tcMar>
              <w:top w:w="42" w:type="dxa"/>
              <w:start w:w="90" w:type="dxa"/>
              <w:bottom w:w="42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Aptos" w:hAnsi="Aptos" w:eastAsia="Microsoft YaHei"/>
                <w:color w:val="1B2733"/>
                <w:sz w:val="16"/>
              </w:rPr>
              <w:t>Accepted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20. 结论</w:t>
      </w:r>
    </w:p>
    <w:p>
      <w:pPr>
        <w:pStyle w:val="Lead"/>
      </w:pPr>
      <w:r>
        <w:rPr>
          <w:rFonts w:ascii="Aptos" w:hAnsi="Aptos" w:eastAsia="Microsoft YaHei"/>
          <w:color w:val="17324D"/>
          <w:sz w:val="24"/>
        </w:rPr>
        <w:t>LudoWeave 的价值不在于“再做一套游戏引擎 UI”，而在于建立一条稳定、可验证的中间层：组件代码描述意图，core 解析布局、交互和语义，renderer 与 host 决定如何落到具体平台。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DF2EF"/>
            <w:tcMar>
              <w:top w:w="100" w:type="dxa"/>
              <w:start w:w="160" w:type="dxa"/>
              <w:bottom w:w="100" w:type="dxa"/>
              <w:end w:w="160" w:type="dxa"/>
            </w:tcMar>
            <w:tcBorders>
              <w:top w:val="single" w:sz="2" w:color="DDF2EF"/>
              <w:left w:val="single" w:sz="18" w:color="0D7C75"/>
              <w:bottom w:val="single" w:sz="2" w:color="DDF2EF"/>
              <w:right w:val="single" w:sz="2" w:color="DDF2EF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0D7C75"/>
                <w:sz w:val="21"/>
              </w:rPr>
              <w:t>最终架构表达</w:t>
            </w:r>
          </w:p>
          <w:p>
            <w:pPr>
              <w:spacing w:after="0" w:line="288" w:lineRule="auto"/>
            </w:pPr>
            <w:r>
              <w:rPr>
                <w:rFonts w:ascii="Aptos" w:hAnsi="Aptos" w:eastAsia="Microsoft YaHei"/>
                <w:color w:val="1B2733"/>
                <w:sz w:val="19"/>
              </w:rPr>
              <w:t>TypeScript pure components → UiNode IR → Core Runtime / Layout / Focus / Animation → ResolvedUiFrame → Headless / DOM / Canvas / GPU renderers；应用只通过 Model、Action、Effect 和 capability adapters 与其交互。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因此，项目应保持独立仓库、独立 npm scope、独立版本与公共 API；Sinan 不拥有 LudoWeave core，而是通过 @ludoweave/sinan 成为第一方设计伙伴。首个可验证里程碑不是重写 Sinan 编辑器，而是让 Gate Demo 的 Prompt、Subtitle、Objective 和 Pause Menu 在 LudoWeave 上运行，同时在 Standalone 与第三宿主复用相同组件。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先保证边界正确，再扩展后端。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先用真实宿主验证，再冻结抽象。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先让所有行为可测试，再追求编辑器便利。</w:t>
      </w:r>
    </w:p>
    <w:p>
      <w:pPr>
        <w:pStyle w:val="ListBullet"/>
        <w:ind w:left="369" w:hanging="170"/>
      </w:pPr>
      <w:r>
        <w:rPr>
          <w:rFonts w:ascii="Aptos" w:hAnsi="Aptos" w:eastAsia="Microsoft YaHei"/>
        </w:rPr>
        <w:t>先以 DOM/Canvas 覆盖生产需求，再由数据决定 WebGPU、Worker 或 WASM。</w:t>
      </w:r>
    </w:p>
    <w:p>
      <w:pPr>
        <w:pStyle w:val="Heading1"/>
        <w:pBdr>
          <w:bottom w:val="single" w:sz="10" w:space="4" w:color="0D7C75"/>
        </w:pBdr>
      </w:pPr>
      <w:r>
        <w:t>附录 A：关键接口示例</w:t>
      </w:r>
    </w:p>
    <w:p>
      <w:pPr>
        <w:pStyle w:val="Heading2"/>
      </w:pPr>
      <w:r>
        <w:t>A.1 Host Capabilities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interface UiHost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clock: UiClock;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scheduler: FrameScheduler;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viewport: ViewportSource;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text: TextMeasurer;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assets: AssetResolver;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input: InputSource;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diagnostics: DiagnosticSink;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clipboard?: ClipboardCapability;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textInput?: NativeTextInputCapability;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A.2 Action bindings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type ActionBindings&lt;A&gt; = Readonly&lt;{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press?: ActionRef&lt;A&gt;;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change?: ActionRefFactory&lt;A, UiValue&gt;;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submit?: ActionRef&lt;A&gt;;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cancel?: ActionRef&lt;A&gt;;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}&gt;;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export interface ActionRef&lt;A&gt;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kind: 'emit';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readonly action: A;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A.3 Render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type RenderCommand =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{ type: 'push-transform'; matrix: Matrix2D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{ type: 'push-clip'; rect: Rect; radius?: CornerRadius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{ type: 'draw-rect'; rect: Rect; paint: Paint; radius?: CornerRadius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{ type: 'draw-text'; run: ResolvedTextRun; origin: Point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{ type: 'draw-image'; asset: ResolvedAsset; source?: Rect; dest: Rect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{ type: 'draw-nine-slice'; asset: ResolvedAsset; dest: Rect; slices: Insets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{ type: 'pop-clip'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| { type: 'pop-transform' };</w:t>
            </w:r>
          </w:p>
        </w:tc>
      </w:tr>
    </w:tbl>
    <w:p>
      <w:pPr>
        <w:spacing w:after="0"/>
      </w:pPr>
    </w:p>
    <w:p>
      <w:pPr>
        <w:pStyle w:val="Heading2"/>
      </w:pPr>
      <w:r>
        <w:t>A.4 Sinan adapter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export interface SinanUiAdapter&lt;A&gt;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buildViewModel(input: SinanUiInput): GameHudModel;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mapAction(action: A):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| { kind: 'command'; command: SinanCommand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| { kind: 'runtime-event'; event: SinanRuntimeEvent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| { kind: 'ignore' };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resolveAsset(assetId: string): AssetRef;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附录 B：推荐仓库模板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ludoweave/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package.json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pnpm-workspace.yaml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tsconfig.base.json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api-extractor.json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.changeset/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packages/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core/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components/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renderer-headless/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renderer-dom/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renderer-canvas2d/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testing/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sinan/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apps/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playground/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docs/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visual-tests/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examples-sinan/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examples-phaser/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tooling/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eslint-config/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tsconfig/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boundary-check/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.github/workflows/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validate.yml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browser.yml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release.yml</w:t>
            </w:r>
          </w:p>
        </w:tc>
      </w:tr>
    </w:tbl>
    <w:p>
      <w:pPr>
        <w:spacing w:after="0"/>
      </w:pPr>
    </w:p>
    <w:p>
      <w:pPr>
        <w:pStyle w:val="Heading2"/>
      </w:pPr>
      <w:r>
        <w:t>B.1 根脚本建议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CD6DD"/>
              <w:left w:val="single" w:sz="4" w:color="CCD6DD"/>
              <w:bottom w:val="single" w:sz="4" w:color="CCD6DD"/>
              <w:right w:val="single" w:sz="4" w:color="CCD6DD"/>
            </w:tcBorders>
          </w:tcPr>
          <w:p>
            <w:pPr>
              <w:pStyle w:val="Code"/>
              <w:keepLines/>
            </w:pPr>
            <w:r/>
            <w:r>
              <w:rPr>
                <w:rFonts w:ascii="Consolas" w:hAnsi="Consolas" w:eastAsia="Microsoft YaHei"/>
                <w:color w:val="263544"/>
                <w:sz w:val="16"/>
              </w:rPr>
              <w:t>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"scripts": {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"dev": "pnpm --filter @ludoweave/playground dev",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"build": "pnpm -r build",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"typecheck": "pnpm -r typecheck",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"lint": "pnpm -r lint",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"test": "pnpm -r test",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"test:browser": "pnpm --filter ./packages/** test:browser",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"test:e2e": "playwright test",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"api-check": "pnpm -r api-check",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"size-check": "pnpm -r size-check",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"changeset": "changeset",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  "release": "pnpm build &amp;&amp; changeset publish"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 xml:space="preserve">  }</w:t>
            </w:r>
          </w:p>
          <w:p>
            <w:pPr>
              <w:pStyle w:val="Code"/>
              <w:keepLines/>
            </w:pPr>
            <w:r>
              <w:rPr>
                <w:rFonts w:ascii="Consolas" w:hAnsi="Consolas" w:eastAsia="Microsoft YaHei"/>
                <w:color w:val="26354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D7C75"/>
        </w:pBdr>
      </w:pPr>
      <w:r>
        <w:t>附录 C：参考资料</w:t>
      </w:r>
    </w:p>
    <w:p>
      <w:r>
        <w:rPr>
          <w:rFonts w:ascii="Aptos" w:hAnsi="Aptos" w:eastAsia="Microsoft YaHei"/>
        </w:rPr>
        <w:t>以下资料用于确认技术栈能力和 Web 平台约束。架构选择以本文的产品目标和边界为准，不代表必须采用资料中的全部实现。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[S1] </w:t>
      </w:r>
      <w:r>
        <w:rPr>
          <w:rFonts w:ascii="Aptos" w:hAnsi="Aptos" w:eastAsia="Microsoft YaHei"/>
          <w:b/>
          <w:color w:val="17324D"/>
          <w:sz w:val="18"/>
        </w:rPr>
        <w:t>《Sinan Scene Director 项目对外协作介绍》</w:t>
      </w:r>
      <w:r>
        <w:rPr>
          <w:rFonts w:ascii="Aptos" w:hAnsi="Aptos" w:eastAsia="Microsoft YaHei"/>
          <w:color w:val="526779"/>
          <w:sz w:val="18"/>
        </w:rPr>
        <w:t xml:space="preserve"> — 用户提供，2026-06-19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[R1] </w:t>
      </w:r>
      <w:hyperlink r:id="rId14">
        <w:r>
          <w:rPr>
            <w:color w:val="0D7C75"/>
            <w:u w:val="single"/>
            <w:rFonts w:ascii="Aptos" w:hAnsi="Aptos" w:eastAsia="Microsoft YaHei"/>
          </w:rPr>
          <w:t>TypeScript Handbook</w:t>
        </w:r>
      </w:hyperlink>
      <w:r>
        <w:rPr>
          <w:rFonts w:ascii="Aptos" w:hAnsi="Aptos" w:eastAsia="Microsoft YaHei"/>
          <w:color w:val="526779"/>
          <w:sz w:val="18"/>
        </w:rPr>
        <w:t xml:space="preserve"> — TypeScript 官方文档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[R2] </w:t>
      </w:r>
      <w:hyperlink r:id="rId15">
        <w:r>
          <w:rPr>
            <w:color w:val="0D7C75"/>
            <w:u w:val="single"/>
            <w:rFonts w:ascii="Aptos" w:hAnsi="Aptos" w:eastAsia="Microsoft YaHei"/>
          </w:rPr>
          <w:t>pnpm Workspace</w:t>
        </w:r>
      </w:hyperlink>
      <w:r>
        <w:rPr>
          <w:rFonts w:ascii="Aptos" w:hAnsi="Aptos" w:eastAsia="Microsoft YaHei"/>
          <w:color w:val="526779"/>
          <w:sz w:val="18"/>
        </w:rPr>
        <w:t xml:space="preserve"> — pnpm 官方文档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[R3] </w:t>
      </w:r>
      <w:hyperlink r:id="rId16">
        <w:r>
          <w:rPr>
            <w:color w:val="0D7C75"/>
            <w:u w:val="single"/>
            <w:rFonts w:ascii="Aptos" w:hAnsi="Aptos" w:eastAsia="Microsoft YaHei"/>
          </w:rPr>
          <w:t>Vite - Building for Production / Library Mode</w:t>
        </w:r>
      </w:hyperlink>
      <w:r>
        <w:rPr>
          <w:rFonts w:ascii="Aptos" w:hAnsi="Aptos" w:eastAsia="Microsoft YaHei"/>
          <w:color w:val="526779"/>
          <w:sz w:val="18"/>
        </w:rPr>
        <w:t xml:space="preserve"> — Vite 官方文档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[R4] </w:t>
      </w:r>
      <w:hyperlink r:id="rId17">
        <w:r>
          <w:rPr>
            <w:color w:val="0D7C75"/>
            <w:u w:val="single"/>
            <w:rFonts w:ascii="Aptos" w:hAnsi="Aptos" w:eastAsia="Microsoft YaHei"/>
          </w:rPr>
          <w:t>Vitest Browser Mode</w:t>
        </w:r>
      </w:hyperlink>
      <w:r>
        <w:rPr>
          <w:rFonts w:ascii="Aptos" w:hAnsi="Aptos" w:eastAsia="Microsoft YaHei"/>
          <w:color w:val="526779"/>
          <w:sz w:val="18"/>
        </w:rPr>
        <w:t xml:space="preserve"> — Vitest 官方文档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[R5] </w:t>
      </w:r>
      <w:hyperlink r:id="rId18">
        <w:r>
          <w:rPr>
            <w:color w:val="0D7C75"/>
            <w:u w:val="single"/>
            <w:rFonts w:ascii="Aptos" w:hAnsi="Aptos" w:eastAsia="Microsoft YaHei"/>
          </w:rPr>
          <w:t>Playwright</w:t>
        </w:r>
      </w:hyperlink>
      <w:r>
        <w:rPr>
          <w:rFonts w:ascii="Aptos" w:hAnsi="Aptos" w:eastAsia="Microsoft YaHei"/>
          <w:color w:val="526779"/>
          <w:sz w:val="18"/>
        </w:rPr>
        <w:t xml:space="preserve"> — Playwright 官方文档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[R6] </w:t>
      </w:r>
      <w:hyperlink r:id="rId19">
        <w:r>
          <w:rPr>
            <w:color w:val="0D7C75"/>
            <w:u w:val="single"/>
            <w:rFonts w:ascii="Aptos" w:hAnsi="Aptos" w:eastAsia="Microsoft YaHei"/>
          </w:rPr>
          <w:t>API Extractor Overview</w:t>
        </w:r>
      </w:hyperlink>
      <w:r>
        <w:rPr>
          <w:rFonts w:ascii="Aptos" w:hAnsi="Aptos" w:eastAsia="Microsoft YaHei"/>
          <w:color w:val="526779"/>
          <w:sz w:val="18"/>
        </w:rPr>
        <w:t xml:space="preserve"> — Rush Stack 官方文档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[R7] </w:t>
      </w:r>
      <w:hyperlink r:id="rId20">
        <w:r>
          <w:rPr>
            <w:color w:val="0D7C75"/>
            <w:u w:val="single"/>
            <w:rFonts w:ascii="Aptos" w:hAnsi="Aptos" w:eastAsia="Microsoft YaHei"/>
          </w:rPr>
          <w:t>Changesets</w:t>
        </w:r>
      </w:hyperlink>
      <w:r>
        <w:rPr>
          <w:rFonts w:ascii="Aptos" w:hAnsi="Aptos" w:eastAsia="Microsoft YaHei"/>
          <w:color w:val="526779"/>
          <w:sz w:val="18"/>
        </w:rPr>
        <w:t xml:space="preserve"> — 官方 GitHub 仓库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[R8] </w:t>
      </w:r>
      <w:hyperlink r:id="rId21">
        <w:r>
          <w:rPr>
            <w:color w:val="0D7C75"/>
            <w:u w:val="single"/>
            <w:rFonts w:ascii="Aptos" w:hAnsi="Aptos" w:eastAsia="Microsoft YaHei"/>
          </w:rPr>
          <w:t>PixiJS Renderers</w:t>
        </w:r>
      </w:hyperlink>
      <w:r>
        <w:rPr>
          <w:rFonts w:ascii="Aptos" w:hAnsi="Aptos" w:eastAsia="Microsoft YaHei"/>
          <w:color w:val="526779"/>
          <w:sz w:val="18"/>
        </w:rPr>
        <w:t xml:space="preserve"> — PixiJS 官方文档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[R9] </w:t>
      </w:r>
      <w:hyperlink r:id="rId22">
        <w:r>
          <w:rPr>
            <w:color w:val="0D7C75"/>
            <w:u w:val="single"/>
            <w:rFonts w:ascii="Aptos" w:hAnsi="Aptos" w:eastAsia="Microsoft YaHei"/>
          </w:rPr>
          <w:t>WebGPU API</w:t>
        </w:r>
      </w:hyperlink>
      <w:r>
        <w:rPr>
          <w:rFonts w:ascii="Aptos" w:hAnsi="Aptos" w:eastAsia="Microsoft YaHei"/>
          <w:color w:val="526779"/>
          <w:sz w:val="18"/>
        </w:rPr>
        <w:t xml:space="preserve"> — MDN Web Docs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[R10] </w:t>
      </w:r>
      <w:hyperlink r:id="rId23">
        <w:r>
          <w:rPr>
            <w:color w:val="0D7C75"/>
            <w:u w:val="single"/>
            <w:rFonts w:ascii="Aptos" w:hAnsi="Aptos" w:eastAsia="Microsoft YaHei"/>
          </w:rPr>
          <w:t>Pointer Events</w:t>
        </w:r>
      </w:hyperlink>
      <w:r>
        <w:rPr>
          <w:rFonts w:ascii="Aptos" w:hAnsi="Aptos" w:eastAsia="Microsoft YaHei"/>
          <w:color w:val="526779"/>
          <w:sz w:val="18"/>
        </w:rPr>
        <w:t xml:space="preserve"> — MDN Web Docs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[R11] </w:t>
      </w:r>
      <w:hyperlink r:id="rId24">
        <w:r>
          <w:rPr>
            <w:color w:val="0D7C75"/>
            <w:u w:val="single"/>
            <w:rFonts w:ascii="Aptos" w:hAnsi="Aptos" w:eastAsia="Microsoft YaHei"/>
          </w:rPr>
          <w:t>ResizeObserver</w:t>
        </w:r>
      </w:hyperlink>
      <w:r>
        <w:rPr>
          <w:rFonts w:ascii="Aptos" w:hAnsi="Aptos" w:eastAsia="Microsoft YaHei"/>
          <w:color w:val="526779"/>
          <w:sz w:val="18"/>
        </w:rPr>
        <w:t xml:space="preserve"> — MDN Web Docs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[R12] </w:t>
      </w:r>
      <w:hyperlink r:id="rId25">
        <w:r>
          <w:rPr>
            <w:color w:val="0D7C75"/>
            <w:u w:val="single"/>
            <w:rFonts w:ascii="Aptos" w:hAnsi="Aptos" w:eastAsia="Microsoft YaHei"/>
          </w:rPr>
          <w:t>OffscreenCanvas</w:t>
        </w:r>
      </w:hyperlink>
      <w:r>
        <w:rPr>
          <w:rFonts w:ascii="Aptos" w:hAnsi="Aptos" w:eastAsia="Microsoft YaHei"/>
          <w:color w:val="526779"/>
          <w:sz w:val="18"/>
        </w:rPr>
        <w:t xml:space="preserve"> — MDN Web Docs</w:t>
      </w:r>
    </w:p>
    <w:p>
      <w:pPr>
        <w:spacing w:after="60"/>
      </w:pPr>
      <w:r>
        <w:rPr>
          <w:rFonts w:ascii="Aptos" w:hAnsi="Aptos" w:eastAsia="Microsoft YaHei"/>
          <w:b/>
          <w:color w:val="0D7C75"/>
          <w:sz w:val="18"/>
        </w:rPr>
        <w:t xml:space="preserve">[R13] </w:t>
      </w:r>
      <w:hyperlink r:id="rId26">
        <w:r>
          <w:rPr>
            <w:color w:val="0D7C75"/>
            <w:u w:val="single"/>
            <w:rFonts w:ascii="Aptos" w:hAnsi="Aptos" w:eastAsia="Microsoft YaHei"/>
          </w:rPr>
          <w:t>WAI-ARIA Authoring Practices - Patterns</w:t>
        </w:r>
      </w:hyperlink>
      <w:r>
        <w:rPr>
          <w:rFonts w:ascii="Aptos" w:hAnsi="Aptos" w:eastAsia="Microsoft YaHei"/>
          <w:color w:val="526779"/>
          <w:sz w:val="18"/>
        </w:rPr>
        <w:t xml:space="preserve"> — W3C WAI</w:t>
      </w:r>
    </w:p>
    <w:p>
      <w:pPr>
        <w:spacing w:before="280"/>
        <w:jc w:val="center"/>
      </w:pPr>
      <w:r>
        <w:rPr>
          <w:rFonts w:ascii="Aptos" w:hAnsi="Aptos" w:eastAsia="Microsoft YaHei"/>
          <w:b/>
          <w:color w:val="526779"/>
          <w:sz w:val="18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526779"/>
        <w:sz w:val="16"/>
      </w:rPr>
      <w:t xml:space="preserve">LudoWeave Architecture &amp; Technology Design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3" w:space="2" w:color="CCD6DD"/>
      </w:pBdr>
    </w:pPr>
    <w:r>
      <w:rPr>
        <w:rFonts w:ascii="Aptos" w:hAnsi="Aptos" w:eastAsia="Microsoft YaHei"/>
        <w:color w:val="526779"/>
        <w:sz w:val="16"/>
      </w:rPr>
      <w:t>LudoWeave（游织）完整架构与技术设计说明书  ·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300" w:lineRule="auto"/>
    </w:pPr>
    <w:rPr>
      <w:rFonts w:ascii="Aptos" w:hAnsi="Aptos" w:eastAsia="Microsoft YaHei"/>
      <w:color w:val="1B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D7C7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C768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5267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83" w:lineRule="auto"/>
      <w:contextualSpacing/>
    </w:pPr>
    <w:rPr>
      <w:rFonts w:ascii="Aptos" w:hAnsi="Aptos" w:eastAsia="Microsoft YaHei"/>
      <w:color w:val="1B27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83" w:lineRule="auto"/>
      <w:contextualSpacing/>
    </w:pPr>
    <w:rPr>
      <w:rFonts w:ascii="Aptos" w:hAnsi="Aptos" w:eastAsia="Microsoft YaHei"/>
      <w:color w:val="1B27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24" w:lineRule="auto" w:after="160"/>
    </w:pPr>
    <w:rPr>
      <w:rFonts w:ascii="Aptos" w:hAnsi="Aptos" w:eastAsia="Microsoft YaHei"/>
      <w:color w:val="17324D"/>
      <w:sz w:val="24"/>
    </w:rPr>
  </w:style>
  <w:style w:type="paragraph" w:customStyle="1" w:styleId="Small">
    <w:name w:val="Small"/>
    <w:pPr>
      <w:spacing w:after="40" w:line="276" w:lineRule="auto"/>
    </w:pPr>
    <w:rPr>
      <w:rFonts w:ascii="Aptos" w:hAnsi="Aptos" w:eastAsia="Microsoft YaHei"/>
      <w:color w:val="526779"/>
      <w:sz w:val="17"/>
    </w:rPr>
  </w:style>
  <w:style w:type="paragraph" w:customStyle="1" w:styleId="Code">
    <w:name w:val="Code"/>
    <w:pPr>
      <w:spacing w:before="0" w:after="0" w:line="240" w:lineRule="auto"/>
      <w:ind w:left="198" w:right="113"/>
    </w:pPr>
    <w:rPr>
      <w:rFonts w:ascii="Consolas" w:hAnsi="Consolas" w:eastAsia="Microsoft YaHei"/>
      <w:color w:val="26354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typescriptlang.org/docs/handbook/" TargetMode="External"/><Relationship Id="rId15" Type="http://schemas.openxmlformats.org/officeDocument/2006/relationships/hyperlink" Target="https://pnpm.io/workspaces" TargetMode="External"/><Relationship Id="rId16" Type="http://schemas.openxmlformats.org/officeDocument/2006/relationships/hyperlink" Target="https://vite.dev/guide/build.html#library-mode" TargetMode="External"/><Relationship Id="rId17" Type="http://schemas.openxmlformats.org/officeDocument/2006/relationships/hyperlink" Target="https://vitest.dev/guide/browser/" TargetMode="External"/><Relationship Id="rId18" Type="http://schemas.openxmlformats.org/officeDocument/2006/relationships/hyperlink" Target="https://playwright.dev/" TargetMode="External"/><Relationship Id="rId19" Type="http://schemas.openxmlformats.org/officeDocument/2006/relationships/hyperlink" Target="https://api-extractor.com/pages/overview/intro/" TargetMode="External"/><Relationship Id="rId20" Type="http://schemas.openxmlformats.org/officeDocument/2006/relationships/hyperlink" Target="https://github.com/changesets/changesets" TargetMode="External"/><Relationship Id="rId21" Type="http://schemas.openxmlformats.org/officeDocument/2006/relationships/hyperlink" Target="https://pixijs.com/8.x/guides/components/renderers" TargetMode="External"/><Relationship Id="rId22" Type="http://schemas.openxmlformats.org/officeDocument/2006/relationships/hyperlink" Target="https://developer.mozilla.org/en-US/docs/Web/API/WebGPU_API" TargetMode="External"/><Relationship Id="rId23" Type="http://schemas.openxmlformats.org/officeDocument/2006/relationships/hyperlink" Target="https://developer.mozilla.org/en-US/docs/Web/API/Pointer_events" TargetMode="External"/><Relationship Id="rId24" Type="http://schemas.openxmlformats.org/officeDocument/2006/relationships/hyperlink" Target="https://developer.mozilla.org/en-US/docs/Web/API/ResizeObserver" TargetMode="External"/><Relationship Id="rId25" Type="http://schemas.openxmlformats.org/officeDocument/2006/relationships/hyperlink" Target="https://developer.mozilla.org/en-US/docs/Web/API/OffscreenCanvas" TargetMode="External"/><Relationship Id="rId26" Type="http://schemas.openxmlformats.org/officeDocument/2006/relationships/hyperlink" Target="https://www.w3.org/WAI/ARIA/apg/patter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LudoWeave（游织）完整架构与技术设计说明书 v2.0</dc:title>
  <dc:subject>Engine-agnostic, code-first game UI framework architecture and technology design</dc:subject>
  <dc:creator>LudoWeave Project</dc:creator>
  <cp:keywords>LudoWeave, game UI, TypeScript, headless UI, renderer adapter, Sinan</cp:keywords>
  <dc:description>Architecture baseline v2.0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