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FDB6" w14:textId="405C3022" w:rsidR="00311456" w:rsidRPr="00374D49" w:rsidRDefault="00B33920" w:rsidP="00311456">
      <w:pPr>
        <w:keepNext/>
        <w:rPr>
          <w:rFonts w:cs="Times New Roman"/>
        </w:rPr>
      </w:pPr>
      <w:bookmarkStart w:id="0" w:name="_Toc233107572"/>
      <w:r>
        <w:rPr>
          <w:rFonts w:cs="Times New Roman"/>
          <w:noProof/>
        </w:rPr>
        <w:drawing>
          <wp:anchor distT="0" distB="0" distL="114300" distR="114300" simplePos="0" relativeHeight="251665408" behindDoc="1" locked="0" layoutInCell="1" allowOverlap="1" wp14:anchorId="5E273150" wp14:editId="14F3E88D">
            <wp:simplePos x="0" y="0"/>
            <wp:positionH relativeFrom="page">
              <wp:posOffset>406400</wp:posOffset>
            </wp:positionH>
            <wp:positionV relativeFrom="page">
              <wp:posOffset>0</wp:posOffset>
            </wp:positionV>
            <wp:extent cx="1676400" cy="711200"/>
            <wp:effectExtent l="0" t="0" r="0" b="0"/>
            <wp:wrapNone/>
            <wp:docPr id="951201100" name="Picture 1" descr="A logo with green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1201100" name="Picture 1" descr="A logo with green text  AI-generated content may be incorrect."/>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711200"/>
                    </a:xfrm>
                    <a:prstGeom prst="rect">
                      <a:avLst/>
                    </a:prstGeom>
                    <a:noFill/>
                  </pic:spPr>
                </pic:pic>
              </a:graphicData>
            </a:graphic>
            <wp14:sizeRelH relativeFrom="page">
              <wp14:pctWidth>0</wp14:pctWidth>
            </wp14:sizeRelH>
            <wp14:sizeRelV relativeFrom="page">
              <wp14:pctHeight>0</wp14:pctHeight>
            </wp14:sizeRelV>
          </wp:anchor>
        </w:drawing>
      </w:r>
      <w:r>
        <w:rPr>
          <w:rFonts w:cs="Times New Roman"/>
          <w:noProof/>
        </w:rPr>
        <w:drawing>
          <wp:anchor distT="0" distB="0" distL="114300" distR="114300" simplePos="0" relativeHeight="251666432" behindDoc="1" locked="0" layoutInCell="1" allowOverlap="1" wp14:anchorId="0E9DDE93" wp14:editId="40130C76">
            <wp:simplePos x="0" y="0"/>
            <wp:positionH relativeFrom="column">
              <wp:posOffset>5232400</wp:posOffset>
            </wp:positionH>
            <wp:positionV relativeFrom="paragraph">
              <wp:posOffset>-812800</wp:posOffset>
            </wp:positionV>
            <wp:extent cx="711200" cy="711200"/>
            <wp:effectExtent l="0" t="0" r="0" b="0"/>
            <wp:wrapNone/>
            <wp:docPr id="1504046396" name="Picture 2" descr="A logo of a federal government of nigeri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46396" name="Picture 2" descr="A logo of a federal government of nigeria  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rPr>
        <w:drawing>
          <wp:anchor distT="0" distB="0" distL="114300" distR="114300" simplePos="0" relativeHeight="251663360" behindDoc="1" locked="0" layoutInCell="1" allowOverlap="1" wp14:anchorId="2BD483D9" wp14:editId="2985EED0">
            <wp:simplePos x="0" y="0"/>
            <wp:positionH relativeFrom="column">
              <wp:posOffset>-965200</wp:posOffset>
            </wp:positionH>
            <wp:positionV relativeFrom="paragraph">
              <wp:posOffset>-914400</wp:posOffset>
            </wp:positionV>
            <wp:extent cx="7635875" cy="10955655"/>
            <wp:effectExtent l="0" t="0" r="0" b="4445"/>
            <wp:wrapNone/>
            <wp:docPr id="1908520958" name="Picture 4" descr="A person giving a vaccine to a chil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20958" name="Picture 4" descr="A person giving a vaccine to a child  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7636908" cy="10957137"/>
                    </a:xfrm>
                    <a:prstGeom prst="rect">
                      <a:avLst/>
                    </a:prstGeom>
                  </pic:spPr>
                </pic:pic>
              </a:graphicData>
            </a:graphic>
            <wp14:sizeRelH relativeFrom="page">
              <wp14:pctWidth>0</wp14:pctWidth>
            </wp14:sizeRelH>
            <wp14:sizeRelV relativeFrom="page">
              <wp14:pctHeight>0</wp14:pctHeight>
            </wp14:sizeRelV>
          </wp:anchor>
        </w:drawing>
      </w:r>
    </w:p>
    <w:p w14:paraId="4BDD6F96" w14:textId="7EE3A9F7" w:rsidR="00311456" w:rsidRPr="00374D49" w:rsidRDefault="00154C52">
      <w:pPr>
        <w:keepNext/>
        <w:rPr>
          <w:rFonts w:eastAsiaTheme="majorEastAsia" w:cs="Times New Roman"/>
          <w:b/>
          <w:color w:val="000000" w:themeColor="text1"/>
          <w:sz w:val="32"/>
          <w:szCs w:val="24"/>
        </w:rPr>
      </w:pPr>
      <w:r>
        <w:rPr>
          <w:rFonts w:cs="Times New Roman"/>
          <w:noProof/>
        </w:rPr>
        <mc:AlternateContent>
          <mc:Choice Requires="wps">
            <w:drawing>
              <wp:anchor distT="0" distB="0" distL="114300" distR="114300" simplePos="0" relativeHeight="251671552" behindDoc="0" locked="0" layoutInCell="1" allowOverlap="1" wp14:anchorId="7998FCE1" wp14:editId="1A603099">
                <wp:simplePos x="0" y="0"/>
                <wp:positionH relativeFrom="column">
                  <wp:posOffset>-701040</wp:posOffset>
                </wp:positionH>
                <wp:positionV relativeFrom="paragraph">
                  <wp:posOffset>7229366</wp:posOffset>
                </wp:positionV>
                <wp:extent cx="2240280" cy="731520"/>
                <wp:effectExtent l="0" t="0" r="0" b="0"/>
                <wp:wrapNone/>
                <wp:docPr id="1654181326" name="Text Box 1"/>
                <wp:cNvGraphicFramePr/>
                <a:graphic xmlns:a="http://schemas.openxmlformats.org/drawingml/2006/main">
                  <a:graphicData uri="http://schemas.microsoft.com/office/word/2010/wordprocessingShape">
                    <wps:wsp>
                      <wps:cNvSpPr txBox="1"/>
                      <wps:spPr>
                        <a:xfrm>
                          <a:off x="0" y="0"/>
                          <a:ext cx="2240280" cy="731520"/>
                        </a:xfrm>
                        <a:prstGeom prst="rect">
                          <a:avLst/>
                        </a:prstGeom>
                        <a:noFill/>
                        <a:ln w="6350">
                          <a:noFill/>
                        </a:ln>
                      </wps:spPr>
                      <wps:txb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98FCE1" id="_x0000_t202" coordsize="21600,21600" o:spt="202" path="m,l,21600r21600,l21600,xe">
                <v:stroke joinstyle="miter"/>
                <v:path gradientshapeok="t" o:connecttype="rect"/>
              </v:shapetype>
              <v:shape id="Text Box 1" o:spid="_x0000_s1026" type="#_x0000_t202" style="position:absolute;margin-left:-55.2pt;margin-top:569.25pt;width:176.4pt;height:57.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" filled="f" stroked="f" strokeweight=".5pt">
                <v:textbox>
                  <w:txbxContent>
                    <w:p w14:paraId="7F31B6D6" w14:textId="288EA343"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For</w:t>
                      </w:r>
                    </w:p>
                    <w:p w14:paraId="2E465354" w14:textId="66673CAC" w:rsidR="00E10B12" w:rsidRPr="00C7036A" w:rsidRDefault="00E10B12" w:rsidP="00E10B12">
                      <w:pPr>
                        <w:spacing w:after="0" w:line="240" w:lineRule="auto"/>
                        <w:rPr>
                          <w:rFonts w:cs="Times New Roman"/>
                          <w:color w:val="145831"/>
                          <w:sz w:val="18"/>
                          <w:szCs w:val="18"/>
                        </w:rPr>
                      </w:pPr>
                      <w:r>
                        <w:rPr>
                          <w:rFonts w:cs="Times New Roman"/>
                          <w:color w:val="145831"/>
                          <w:sz w:val="18"/>
                          <w:szCs w:val="18"/>
                        </w:rPr>
                        <w:t>National Primary Health Care Development Agency (NPHCDA)</w:t>
                      </w:r>
                    </w:p>
                  </w:txbxContent>
                </v:textbox>
              </v:shape>
            </w:pict>
          </mc:Fallback>
        </mc:AlternateContent>
      </w:r>
      <w:r>
        <w:rPr>
          <w:rFonts w:cs="Times New Roman"/>
          <w:noProof/>
        </w:rPr>
        <mc:AlternateContent>
          <mc:Choice Requires="wps">
            <w:drawing>
              <wp:anchor distT="0" distB="0" distL="114300" distR="114300" simplePos="0" relativeHeight="251673600" behindDoc="0" locked="0" layoutInCell="1" allowOverlap="1" wp14:anchorId="5F83F571" wp14:editId="35EAA9FF">
                <wp:simplePos x="0" y="0"/>
                <wp:positionH relativeFrom="column">
                  <wp:posOffset>-704850</wp:posOffset>
                </wp:positionH>
                <wp:positionV relativeFrom="paragraph">
                  <wp:posOffset>8184624</wp:posOffset>
                </wp:positionV>
                <wp:extent cx="2240280" cy="849630"/>
                <wp:effectExtent l="0" t="0" r="0" b="0"/>
                <wp:wrapNone/>
                <wp:docPr id="1075178776" name="Text Box 1"/>
                <wp:cNvGraphicFramePr/>
                <a:graphic xmlns:a="http://schemas.openxmlformats.org/drawingml/2006/main">
                  <a:graphicData uri="http://schemas.microsoft.com/office/word/2010/wordprocessingShape">
                    <wps:wsp>
                      <wps:cNvSpPr txBox="1"/>
                      <wps:spPr>
                        <a:xfrm>
                          <a:off x="0" y="0"/>
                          <a:ext cx="2240280" cy="849630"/>
                        </a:xfrm>
                        <a:prstGeom prst="rect">
                          <a:avLst/>
                        </a:prstGeom>
                        <a:noFill/>
                        <a:ln w="6350">
                          <a:noFill/>
                        </a:ln>
                      </wps:spPr>
                      <wps:txb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3F571" id="_x0000_s1027" type="#_x0000_t202" style="position:absolute;margin-left:-55.5pt;margin-top:644.45pt;width:176.4pt;height:6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" filled="f" stroked="f" strokeweight=".5pt">
                <v:textbox>
                  <w:txbxContent>
                    <w:p w14:paraId="74535932" w14:textId="55FF01D8" w:rsidR="00E10B12" w:rsidRPr="00E10B12" w:rsidRDefault="00E10B12" w:rsidP="00E10B12">
                      <w:pPr>
                        <w:spacing w:after="0" w:line="240" w:lineRule="auto"/>
                        <w:rPr>
                          <w:rFonts w:cs="Times New Roman"/>
                          <w:b/>
                          <w:bCs/>
                          <w:color w:val="145831"/>
                          <w:sz w:val="28"/>
                          <w:szCs w:val="28"/>
                        </w:rPr>
                      </w:pPr>
                      <w:r>
                        <w:rPr>
                          <w:rFonts w:cs="Times New Roman"/>
                          <w:b/>
                          <w:bCs/>
                          <w:color w:val="145831"/>
                          <w:sz w:val="28"/>
                          <w:szCs w:val="28"/>
                        </w:rPr>
                        <w:t>Prepared By</w:t>
                      </w:r>
                    </w:p>
                    <w:p w14:paraId="3C91BB64" w14:textId="646CF191" w:rsidR="00E10B12" w:rsidRPr="00C7036A" w:rsidRDefault="00C7036A" w:rsidP="00E10B12">
                      <w:pPr>
                        <w:spacing w:after="0" w:line="240" w:lineRule="auto"/>
                        <w:rPr>
                          <w:rFonts w:cs="Times New Roman"/>
                          <w:color w:val="145831"/>
                          <w:sz w:val="18"/>
                          <w:szCs w:val="18"/>
                        </w:rPr>
                      </w:pPr>
                      <w:r>
                        <w:rPr>
                          <w:rFonts w:cs="Times New Roman"/>
                          <w:color w:val="145831"/>
                          <w:sz w:val="18"/>
                          <w:szCs w:val="18"/>
                        </w:rPr>
                        <w:t>Consortium of Center for Infectious Diseases Research and Evaluation (CIDRE) &amp; Quantium Insights LLC</w:t>
                      </w:r>
                    </w:p>
                  </w:txbxContent>
                </v:textbox>
              </v:shape>
            </w:pict>
          </mc:Fallback>
        </mc:AlternateContent>
      </w:r>
      <w:r>
        <w:rPr>
          <w:rFonts w:cs="Times New Roman"/>
          <w:noProof/>
        </w:rPr>
        <mc:AlternateContent>
          <mc:Choice Requires="wps">
            <w:drawing>
              <wp:anchor distT="0" distB="0" distL="114300" distR="114300" simplePos="0" relativeHeight="251668480" behindDoc="0" locked="0" layoutInCell="1" allowOverlap="1" wp14:anchorId="44CC2DDC" wp14:editId="7EFC5C31">
                <wp:simplePos x="0" y="0"/>
                <wp:positionH relativeFrom="column">
                  <wp:posOffset>-678873</wp:posOffset>
                </wp:positionH>
                <wp:positionV relativeFrom="paragraph">
                  <wp:posOffset>6359352</wp:posOffset>
                </wp:positionV>
                <wp:extent cx="5591810" cy="803563"/>
                <wp:effectExtent l="0" t="0" r="0" b="0"/>
                <wp:wrapNone/>
                <wp:docPr id="608592761" name="Text Box 1"/>
                <wp:cNvGraphicFramePr/>
                <a:graphic xmlns:a="http://schemas.openxmlformats.org/drawingml/2006/main">
                  <a:graphicData uri="http://schemas.microsoft.com/office/word/2010/wordprocessingShape">
                    <wps:wsp>
                      <wps:cNvSpPr txBox="1"/>
                      <wps:spPr>
                        <a:xfrm>
                          <a:off x="0" y="0"/>
                          <a:ext cx="5591810" cy="803563"/>
                        </a:xfrm>
                        <a:prstGeom prst="rect">
                          <a:avLst/>
                        </a:prstGeom>
                        <a:noFill/>
                        <a:ln w="6350">
                          <a:noFill/>
                        </a:ln>
                      </wps:spPr>
                      <wps:txb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CC2DDC" id="_x0000_s1028" type="#_x0000_t202" style="position:absolute;margin-left:-53.45pt;margin-top:500.75pt;width:440.3pt;height:6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" filled="f" stroked="f" strokeweight=".5pt">
                <v:textbox>
                  <w:txbxContent>
                    <w:p w14:paraId="2C53C1F1" w14:textId="5168E855" w:rsidR="00495DE5" w:rsidRPr="00384ABA" w:rsidRDefault="00E836FC" w:rsidP="00495DE5">
                      <w:pPr>
                        <w:spacing w:after="0" w:line="240" w:lineRule="auto"/>
                        <w:rPr>
                          <w:rFonts w:cs="Times New Roman"/>
                          <w:color w:val="145831"/>
                          <w:sz w:val="28"/>
                          <w:szCs w:val="28"/>
                        </w:rPr>
                      </w:pPr>
                      <w:r>
                        <w:rPr>
                          <w:rFonts w:cs="Times New Roman"/>
                          <w:color w:val="145831"/>
                          <w:sz w:val="28"/>
                          <w:szCs w:val="28"/>
                        </w:rPr>
                        <w:t>Consolidated Final Technical Report on Zero-Dose Forecasting, Immunization Risk Modelling, and Baseline–Endline Institutional Readiness</w:t>
                      </w:r>
                    </w:p>
                  </w:txbxContent>
                </v:textbox>
              </v:shape>
            </w:pict>
          </mc:Fallback>
        </mc:AlternateContent>
      </w:r>
      <w:r>
        <w:rPr>
          <w:rFonts w:cs="Times New Roman"/>
          <w:noProof/>
        </w:rPr>
        <mc:AlternateContent>
          <mc:Choice Requires="wps">
            <w:drawing>
              <wp:anchor distT="0" distB="0" distL="114300" distR="114300" simplePos="0" relativeHeight="251669504" behindDoc="0" locked="0" layoutInCell="1" allowOverlap="1" wp14:anchorId="7E219071" wp14:editId="4FFA7663">
                <wp:simplePos x="0" y="0"/>
                <wp:positionH relativeFrom="column">
                  <wp:posOffset>-570548</wp:posOffset>
                </wp:positionH>
                <wp:positionV relativeFrom="paragraph">
                  <wp:posOffset>6323330</wp:posOffset>
                </wp:positionV>
                <wp:extent cx="3486150" cy="0"/>
                <wp:effectExtent l="0" t="38100" r="44450" b="38100"/>
                <wp:wrapNone/>
                <wp:docPr id="1362758875" name="Straight Connector 5"/>
                <wp:cNvGraphicFramePr/>
                <a:graphic xmlns:a="http://schemas.openxmlformats.org/drawingml/2006/main">
                  <a:graphicData uri="http://schemas.microsoft.com/office/word/2010/wordprocessingShape">
                    <wps:wsp>
                      <wps:cNvCnPr/>
                      <wps:spPr>
                        <a:xfrm>
                          <a:off x="0" y="0"/>
                          <a:ext cx="3486150" cy="0"/>
                        </a:xfrm>
                        <a:prstGeom prst="line">
                          <a:avLst/>
                        </a:prstGeom>
                        <a:ln>
                          <a:solidFill>
                            <a:srgbClr val="145831"/>
                          </a:solidFill>
                          <a:tailEnd type="ova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F8B3F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95pt,497.9pt" to="229.55pt,497.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GuuJxAEAAO0DAAAOAAAAZHJzL2Uyb0RvYy54bWysU8lu2zAQvRfoPxC815KcBYZgOYek6aVo gzb9AJocWgS4gWQt6e87pC05XYAAQS8jLvPezHscbe9Go8kRQlTOdrRZ1ZSA5U4oe+joj+fHDxtK YmJWMO0sdHSCSO92799tB9/C2vVOCwgESWxsB9/RPiXfVlXkPRgWV86DxUvpgmEJt+FQicAGZDe6 Wtf1bTW4IHxwHGLE04fTJd0VfimBp69SRkhEdxR7SyWGEvc5Vrstaw+B+V7xcxvsDV0YpiwWXage WGLkZ1B/URnFg4tOphV3pnJSKg5FA6pp6j/UfO+Zh6IFzYl+sSn+P1r+5XhvnwLaMPjYRv8UsopR BpO/2B8Zi1nTYhaMiXA8vLre3DY36Cmf76oL0IeYPoEzJC86qpXNOljLjp9jwmKYOqfkY21zjE4r 8ai0Lptw2N/rQI4MX665vtlcNfmxEPhbWmJKf7SCpMnjdDnMPmdlyuqiqazSpOFU7htIokRWUdoq 4wZLOcY52DTX0xazM0xiawuwfh14zs9QKKO4gNevgxdEqexsWsBGWRf+RZDGuWV5yp8dOOnOFuyd mMprF2twpoqj5/nPQ/tyX+CXv3T3CwAA//8DAFBLAwQUAAYACAAAACEA8FIO4uUAAAAQAQAADwAA AGRycy9kb3ducmV2LnhtbEyPW0vDQBCF3wX/wzKCL9JuKsZ202yKF8QHRbCt4OM2O02Ce4m7mzb+ e0cQ9GVgZs6cOV+5Gq1hBwyx807CbJoBQ1d73blGwnbzMFkAi0k5rYx3KOELI6yq05NSFdof3Sse 1qlhZOJioSS0KfUF57Fu0ao49T062u19sCpRGxqugzqSuTX8MsuuuVWdow+t6vGuxfpjPVgJ+DJP 81t9YfaPMTx/Nu/DU/6GUp6fjfdLKjdLYAnH9HcBPwyUHyoKtvOD05EZCZOFECSVIEROIKS4ysUM 2O53wquS/wepvgEAAP//AwBQSwECLQAUAAYACAAAACEAtoM4kv4AAADhAQAAEwAAAAAAAAAAAAAA AAAAAAAAW0NvbnRlbnRfVHlwZXNdLnhtbFBLAQItABQABgAIAAAAIQA4/SH/1gAAAJQBAAALAAAA AAAAAAAAAAAAAC8BAABfcmVscy8ucmVsc1BLAQItABQABgAIAAAAIQDLGuuJxAEAAO0DAAAOAAAA AAAAAAAAAAAAAC4CAABkcnMvZTJvRG9jLnhtbFBLAQItABQABgAIAAAAIQDwUg7i5QAAABABAAAP AAAAAAAAAAAAAAAAAB4EAABkcnMvZG93bnJldi54bWxQSwUGAAAAAAQABADzAAAAMAUAAAAA " strokecolor="#145831" strokeweight="1.5pt">
                <v:stroke endarrow="oval" joinstyle="miter"/>
              </v:line>
            </w:pict>
          </mc:Fallback>
        </mc:AlternateContent>
      </w:r>
      <w:r>
        <w:rPr>
          <w:rFonts w:cs="Times New Roman"/>
          <w:noProof/>
        </w:rPr>
        <mc:AlternateContent>
          <mc:Choice Requires="wps">
            <w:drawing>
              <wp:anchor distT="0" distB="0" distL="114300" distR="114300" simplePos="0" relativeHeight="251660288" behindDoc="0" locked="0" layoutInCell="1" allowOverlap="1" wp14:anchorId="4FBE31E1" wp14:editId="45E10CD9">
                <wp:simplePos x="0" y="0"/>
                <wp:positionH relativeFrom="column">
                  <wp:posOffset>-694055</wp:posOffset>
                </wp:positionH>
                <wp:positionV relativeFrom="paragraph">
                  <wp:posOffset>4220527</wp:posOffset>
                </wp:positionV>
                <wp:extent cx="7179310" cy="2099310"/>
                <wp:effectExtent l="0" t="0" r="0" b="0"/>
                <wp:wrapNone/>
                <wp:docPr id="1964530407" name="Text Box 1"/>
                <wp:cNvGraphicFramePr/>
                <a:graphic xmlns:a="http://schemas.openxmlformats.org/drawingml/2006/main">
                  <a:graphicData uri="http://schemas.microsoft.com/office/word/2010/wordprocessingShape">
                    <wps:wsp>
                      <wps:cNvSpPr txBox="1"/>
                      <wps:spPr>
                        <a:xfrm>
                          <a:off x="0" y="0"/>
                          <a:ext cx="7179310" cy="2099310"/>
                        </a:xfrm>
                        <a:prstGeom prst="rect">
                          <a:avLst/>
                        </a:prstGeom>
                        <a:noFill/>
                        <a:ln w="6350">
                          <a:noFill/>
                        </a:ln>
                      </wps:spPr>
                      <wps:txb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E31E1" id="_x0000_s1029" type="#_x0000_t202" style="position:absolute;margin-left:-54.65pt;margin-top:332.3pt;width:565.3pt;height:16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" filled="f" stroked="f" strokeweight=".5pt">
                <v:textbox>
                  <w:txbxContent>
                    <w:p w14:paraId="0C79CDF3" w14:textId="594D5F7E" w:rsidR="00CF5A1B" w:rsidRPr="00637C5E" w:rsidRDefault="007E0F51" w:rsidP="00637C5E">
                      <w:pPr>
                        <w:spacing w:after="0" w:line="240" w:lineRule="auto"/>
                        <w:rPr>
                          <w:rFonts w:cs="Times New Roman"/>
                          <w:b/>
                          <w:bCs/>
                          <w:sz w:val="52"/>
                          <w:szCs w:val="52"/>
                        </w:rPr>
                      </w:pPr>
                      <w:r>
                        <w:rPr>
                          <w:rFonts w:cs="Times New Roman"/>
                          <w:b/>
                          <w:bCs/>
                          <w:sz w:val="52"/>
                          <w:szCs w:val="52"/>
                        </w:rPr>
                        <w:t>Integrating Predictive Modelling into Existing Immunization Programmes to Enhance Decision-Making and Reduce the Zero-Dose Burden in Nigeria</w:t>
                      </w:r>
                    </w:p>
                  </w:txbxContent>
                </v:textbox>
              </v:shape>
            </w:pict>
          </mc:Fallback>
        </mc:AlternateContent>
      </w:r>
      <w:r>
        <w:rPr>
          <w:rFonts w:cs="Times New Roman"/>
          <w:noProof/>
        </w:rPr>
        <mc:AlternateContent>
          <mc:Choice Requires="wps">
            <w:drawing>
              <wp:anchor distT="0" distB="0" distL="114300" distR="114300" simplePos="0" relativeHeight="251662336" behindDoc="0" locked="0" layoutInCell="1" allowOverlap="1" wp14:anchorId="6F4FB187" wp14:editId="225052B0">
                <wp:simplePos x="0" y="0"/>
                <wp:positionH relativeFrom="column">
                  <wp:posOffset>4470188</wp:posOffset>
                </wp:positionH>
                <wp:positionV relativeFrom="paragraph">
                  <wp:posOffset>8276590</wp:posOffset>
                </wp:positionV>
                <wp:extent cx="2015067" cy="495300"/>
                <wp:effectExtent l="0" t="0" r="0" b="0"/>
                <wp:wrapNone/>
                <wp:docPr id="628053711" name="Text Box 1"/>
                <wp:cNvGraphicFramePr/>
                <a:graphic xmlns:a="http://schemas.openxmlformats.org/drawingml/2006/main">
                  <a:graphicData uri="http://schemas.microsoft.com/office/word/2010/wordprocessingShape">
                    <wps:wsp>
                      <wps:cNvSpPr txBox="1"/>
                      <wps:spPr>
                        <a:xfrm>
                          <a:off x="0" y="0"/>
                          <a:ext cx="2015067" cy="495300"/>
                        </a:xfrm>
                        <a:prstGeom prst="rect">
                          <a:avLst/>
                        </a:prstGeom>
                        <a:noFill/>
                        <a:ln w="6350">
                          <a:noFill/>
                        </a:ln>
                      </wps:spPr>
                      <wps:txb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FB187" id="_x0000_s1030" type="#_x0000_t202" style="position:absolute;margin-left:352pt;margin-top:651.7pt;width:158.65pt;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aDGw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" filled="f" stroked="f" strokeweight=".5pt">
                <v:textbox>
                  <w:txbxContent>
                    <w:p w14:paraId="78F483D3" w14:textId="679C765A" w:rsidR="00CF5A1B" w:rsidRPr="00CF5A1B" w:rsidRDefault="00CF5A1B" w:rsidP="00CF5A1B">
                      <w:pPr>
                        <w:spacing w:after="0"/>
                        <w:rPr>
                          <w:rFonts w:cs="Times New Roman"/>
                          <w:b/>
                          <w:bCs/>
                          <w:color w:val="FFFFFF" w:themeColor="background1"/>
                          <w:sz w:val="52"/>
                          <w:szCs w:val="52"/>
                        </w:rPr>
                      </w:pPr>
                      <w:r>
                        <w:rPr>
                          <w:rFonts w:cs="Times New Roman"/>
                          <w:b/>
                          <w:bCs/>
                          <w:color w:val="FFFFFF" w:themeColor="background1"/>
                          <w:sz w:val="52"/>
                          <w:szCs w:val="52"/>
                        </w:rPr>
                        <w:t>June 2026</w:t>
                      </w:r>
                    </w:p>
                  </w:txbxContent>
                </v:textbox>
              </v:shape>
            </w:pict>
          </mc:Fallback>
        </mc:AlternateContent>
      </w:r>
      <w:r>
        <w:rPr>
          <w:rFonts w:cs="Times New Roman"/>
        </w:rPr>
        <w:br w:type="page"/>
      </w:r>
    </w:p>
    <w:sdt>
      <w:sdtPr>
        <w:rPr>
          <w:rFonts w:ascii="Times New Roman" w:eastAsiaTheme="minorHAnsi" w:hAnsi="Times New Roman" w:cs="Times New Roman"/>
          <w:b w:val="0"/>
          <w:bCs w:val="0"/>
          <w:color w:val="auto"/>
          <w:sz w:val="24"/>
          <w:szCs w:val="22"/>
        </w:rPr>
        <w:id w:val="1942945162"/>
        <w:docPartObj>
          <w:docPartGallery w:val="Table of Contents"/>
          <w:docPartUnique/>
        </w:docPartObj>
      </w:sdtPr>
      <w:sdtEndPr>
        <w:rPr>
          <w:noProof/>
        </w:rPr>
      </w:sdtEndPr>
      <w:sdtContent>
        <w:p w14:paraId="7A56468F" w14:textId="0B438F91" w:rsidR="00FC6635" w:rsidRPr="00374D49" w:rsidRDefault="00FC6635" w:rsidP="00E273B5">
          <w:pPr>
            <w:pStyle w:val="TOCHeading"/>
            <w:spacing w:before="0"/>
            <w:rPr>
              <w:rFonts w:ascii="Times New Roman" w:hAnsi="Times New Roman" w:cs="Times New Roman"/>
              <w:color w:val="000000" w:themeColor="text1"/>
            </w:rPr>
          </w:pPr>
          <w:r>
            <w:rPr>
              <w:rFonts w:ascii="Times New Roman" w:hAnsi="Times New Roman" w:cs="Times New Roman"/>
              <w:color w:val="000000" w:themeColor="text1"/>
            </w:rPr>
            <w:t>Table of Contents</w:t>
          </w:r>
        </w:p>
        <w:p w14:paraId="34FD9B69" w14:textId="1D7ADDCE" w:rsidR="009D346F" w:rsidRDefault="00FC6635">
          <w:pPr>
            <w:pStyle w:val="TOC1"/>
            <w:tabs>
              <w:tab w:val="right" w:leader="dot" w:pos="9016"/>
            </w:tabs>
            <w:rPr>
              <w:rFonts w:eastAsiaTheme="minorEastAsia" w:cstheme="minorBidi"/>
              <w:b w:val="0"/>
              <w:bCs w:val="0"/>
              <w:caps w:val="0"/>
              <w:noProof/>
              <w:kern w:val="2"/>
              <w:sz w:val="24"/>
              <w:szCs w:val="24"/>
              <w14:ligatures w14:val="standardContextual"/>
            </w:rPr>
          </w:pPr>
          <w:r>
            <w:rPr>
              <w:rFonts w:ascii="Times New Roman" w:hAnsi="Times New Roman" w:cs="Times New Roman"/>
              <w:b w:val="0"/>
              <w:bCs w:val="0"/>
              <w:color w:val="000000" w:themeColor="text1"/>
            </w:rPr>
            <w:fldChar w:fldCharType="begin"/>
          </w:r>
          <w:r>
            <w:rPr>
              <w:rFonts w:ascii="Times New Roman" w:hAnsi="Times New Roman" w:cs="Times New Roman"/>
              <w:color w:val="000000" w:themeColor="text1"/>
            </w:rPr>
            <w:instrText xml:space="preserve"> TOC \o "1-3" \h \z \u </w:instrText>
          </w:r>
          <w:r>
            <w:rPr>
              <w:rFonts w:ascii="Times New Roman" w:hAnsi="Times New Roman" w:cs="Times New Roman"/>
              <w:b w:val="0"/>
              <w:bCs w:val="0"/>
              <w:color w:val="000000" w:themeColor="text1"/>
            </w:rPr>
            <w:fldChar w:fldCharType="separate"/>
          </w:r>
          <w:hyperlink w:anchor="_Toc242407898" w:history="1">
            <w:r w:rsidR="009D346F" w:rsidRPr="00BD0C37">
              <w:rPr>
                <w:rStyle w:val="Hyperlink"/>
                <w:noProof/>
              </w:rPr>
              <w:t>List of Abbreviations</w:t>
            </w:r>
            <w:r w:rsidR="009D346F">
              <w:rPr>
                <w:noProof/>
                <w:webHidden/>
              </w:rPr>
              <w:tab/>
            </w:r>
            <w:r w:rsidR="009D346F">
              <w:rPr>
                <w:noProof/>
                <w:webHidden/>
              </w:rPr>
              <w:fldChar w:fldCharType="begin"/>
            </w:r>
            <w:r w:rsidR="009D346F">
              <w:rPr>
                <w:noProof/>
                <w:webHidden/>
              </w:rPr>
              <w:instrText xml:space="preserve"> PAGEREF _Toc242407898 \h </w:instrText>
            </w:r>
            <w:r w:rsidR="009D346F">
              <w:rPr>
                <w:noProof/>
                <w:webHidden/>
              </w:rPr>
            </w:r>
            <w:r w:rsidR="009D346F">
              <w:rPr>
                <w:noProof/>
                <w:webHidden/>
              </w:rPr>
              <w:fldChar w:fldCharType="separate"/>
            </w:r>
            <w:r w:rsidR="009D346F">
              <w:rPr>
                <w:noProof/>
                <w:webHidden/>
              </w:rPr>
              <w:t>4</w:t>
            </w:r>
            <w:r w:rsidR="009D346F">
              <w:rPr>
                <w:noProof/>
                <w:webHidden/>
              </w:rPr>
              <w:fldChar w:fldCharType="end"/>
            </w:r>
          </w:hyperlink>
        </w:p>
        <w:p w14:paraId="003FE357" w14:textId="31F6BE2E"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899" w:history="1">
            <w:r w:rsidRPr="00BD0C37">
              <w:rPr>
                <w:rStyle w:val="Hyperlink"/>
                <w:noProof/>
              </w:rPr>
              <w:t>Executive Summary</w:t>
            </w:r>
            <w:r>
              <w:rPr>
                <w:noProof/>
                <w:webHidden/>
              </w:rPr>
              <w:tab/>
            </w:r>
            <w:r>
              <w:rPr>
                <w:noProof/>
                <w:webHidden/>
              </w:rPr>
              <w:fldChar w:fldCharType="begin"/>
            </w:r>
            <w:r>
              <w:rPr>
                <w:noProof/>
                <w:webHidden/>
              </w:rPr>
              <w:instrText xml:space="preserve"> PAGEREF _Toc242407899 \h </w:instrText>
            </w:r>
            <w:r>
              <w:rPr>
                <w:noProof/>
                <w:webHidden/>
              </w:rPr>
            </w:r>
            <w:r>
              <w:rPr>
                <w:noProof/>
                <w:webHidden/>
              </w:rPr>
              <w:fldChar w:fldCharType="separate"/>
            </w:r>
            <w:r>
              <w:rPr>
                <w:noProof/>
                <w:webHidden/>
              </w:rPr>
              <w:t>5</w:t>
            </w:r>
            <w:r>
              <w:rPr>
                <w:noProof/>
                <w:webHidden/>
              </w:rPr>
              <w:fldChar w:fldCharType="end"/>
            </w:r>
          </w:hyperlink>
        </w:p>
        <w:p w14:paraId="2E012C11" w14:textId="053B75A4"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00" w:history="1">
            <w:r w:rsidRPr="00BD0C37">
              <w:rPr>
                <w:rStyle w:val="Hyperlink"/>
                <w:noProof/>
              </w:rPr>
              <w:t>1. Introduction and Background</w:t>
            </w:r>
            <w:r>
              <w:rPr>
                <w:noProof/>
                <w:webHidden/>
              </w:rPr>
              <w:tab/>
            </w:r>
            <w:r>
              <w:rPr>
                <w:noProof/>
                <w:webHidden/>
              </w:rPr>
              <w:fldChar w:fldCharType="begin"/>
            </w:r>
            <w:r>
              <w:rPr>
                <w:noProof/>
                <w:webHidden/>
              </w:rPr>
              <w:instrText xml:space="preserve"> PAGEREF _Toc242407900 \h </w:instrText>
            </w:r>
            <w:r>
              <w:rPr>
                <w:noProof/>
                <w:webHidden/>
              </w:rPr>
            </w:r>
            <w:r>
              <w:rPr>
                <w:noProof/>
                <w:webHidden/>
              </w:rPr>
              <w:fldChar w:fldCharType="separate"/>
            </w:r>
            <w:r>
              <w:rPr>
                <w:noProof/>
                <w:webHidden/>
              </w:rPr>
              <w:t>9</w:t>
            </w:r>
            <w:r>
              <w:rPr>
                <w:noProof/>
                <w:webHidden/>
              </w:rPr>
              <w:fldChar w:fldCharType="end"/>
            </w:r>
          </w:hyperlink>
        </w:p>
        <w:p w14:paraId="7E044923" w14:textId="4D8C833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1" w:history="1">
            <w:r w:rsidRPr="00BD0C37">
              <w:rPr>
                <w:rStyle w:val="Hyperlink"/>
                <w:noProof/>
              </w:rPr>
              <w:t>1.1 The Zero-Dose Child</w:t>
            </w:r>
            <w:r>
              <w:rPr>
                <w:noProof/>
                <w:webHidden/>
              </w:rPr>
              <w:tab/>
            </w:r>
            <w:r>
              <w:rPr>
                <w:noProof/>
                <w:webHidden/>
              </w:rPr>
              <w:fldChar w:fldCharType="begin"/>
            </w:r>
            <w:r>
              <w:rPr>
                <w:noProof/>
                <w:webHidden/>
              </w:rPr>
              <w:instrText xml:space="preserve"> PAGEREF _Toc242407901 \h </w:instrText>
            </w:r>
            <w:r>
              <w:rPr>
                <w:noProof/>
                <w:webHidden/>
              </w:rPr>
            </w:r>
            <w:r>
              <w:rPr>
                <w:noProof/>
                <w:webHidden/>
              </w:rPr>
              <w:fldChar w:fldCharType="separate"/>
            </w:r>
            <w:r>
              <w:rPr>
                <w:noProof/>
                <w:webHidden/>
              </w:rPr>
              <w:t>10</w:t>
            </w:r>
            <w:r>
              <w:rPr>
                <w:noProof/>
                <w:webHidden/>
              </w:rPr>
              <w:fldChar w:fldCharType="end"/>
            </w:r>
          </w:hyperlink>
        </w:p>
        <w:p w14:paraId="0576BE74" w14:textId="1357AC35"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2" w:history="1">
            <w:r w:rsidRPr="00BD0C37">
              <w:rPr>
                <w:rStyle w:val="Hyperlink"/>
                <w:noProof/>
              </w:rPr>
              <w:t>1.2 Where Nigeria Stands, NDHS 2024</w:t>
            </w:r>
            <w:r>
              <w:rPr>
                <w:noProof/>
                <w:webHidden/>
              </w:rPr>
              <w:tab/>
            </w:r>
            <w:r>
              <w:rPr>
                <w:noProof/>
                <w:webHidden/>
              </w:rPr>
              <w:fldChar w:fldCharType="begin"/>
            </w:r>
            <w:r>
              <w:rPr>
                <w:noProof/>
                <w:webHidden/>
              </w:rPr>
              <w:instrText xml:space="preserve"> PAGEREF _Toc242407902 \h </w:instrText>
            </w:r>
            <w:r>
              <w:rPr>
                <w:noProof/>
                <w:webHidden/>
              </w:rPr>
            </w:r>
            <w:r>
              <w:rPr>
                <w:noProof/>
                <w:webHidden/>
              </w:rPr>
              <w:fldChar w:fldCharType="separate"/>
            </w:r>
            <w:r>
              <w:rPr>
                <w:noProof/>
                <w:webHidden/>
              </w:rPr>
              <w:t>10</w:t>
            </w:r>
            <w:r>
              <w:rPr>
                <w:noProof/>
                <w:webHidden/>
              </w:rPr>
              <w:fldChar w:fldCharType="end"/>
            </w:r>
          </w:hyperlink>
        </w:p>
        <w:p w14:paraId="377509A2" w14:textId="435ECEB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3" w:history="1">
            <w:r w:rsidRPr="00BD0C37">
              <w:rPr>
                <w:rStyle w:val="Hyperlink"/>
                <w:noProof/>
              </w:rPr>
              <w:t>1.3 Why Zero-Dose Matters: The Link to Vaccine-Preventable Child Deaths</w:t>
            </w:r>
            <w:r>
              <w:rPr>
                <w:noProof/>
                <w:webHidden/>
              </w:rPr>
              <w:tab/>
            </w:r>
            <w:r>
              <w:rPr>
                <w:noProof/>
                <w:webHidden/>
              </w:rPr>
              <w:fldChar w:fldCharType="begin"/>
            </w:r>
            <w:r>
              <w:rPr>
                <w:noProof/>
                <w:webHidden/>
              </w:rPr>
              <w:instrText xml:space="preserve"> PAGEREF _Toc242407903 \h </w:instrText>
            </w:r>
            <w:r>
              <w:rPr>
                <w:noProof/>
                <w:webHidden/>
              </w:rPr>
            </w:r>
            <w:r>
              <w:rPr>
                <w:noProof/>
                <w:webHidden/>
              </w:rPr>
              <w:fldChar w:fldCharType="separate"/>
            </w:r>
            <w:r>
              <w:rPr>
                <w:noProof/>
                <w:webHidden/>
              </w:rPr>
              <w:t>10</w:t>
            </w:r>
            <w:r>
              <w:rPr>
                <w:noProof/>
                <w:webHidden/>
              </w:rPr>
              <w:fldChar w:fldCharType="end"/>
            </w:r>
          </w:hyperlink>
        </w:p>
        <w:p w14:paraId="1FFF6D1C" w14:textId="2B61F754"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4" w:history="1">
            <w:r w:rsidRPr="00BD0C37">
              <w:rPr>
                <w:rStyle w:val="Hyperlink"/>
                <w:noProof/>
              </w:rPr>
              <w:t>1.4 How the Programme Was Delivered</w:t>
            </w:r>
            <w:r>
              <w:rPr>
                <w:noProof/>
                <w:webHidden/>
              </w:rPr>
              <w:tab/>
            </w:r>
            <w:r>
              <w:rPr>
                <w:noProof/>
                <w:webHidden/>
              </w:rPr>
              <w:fldChar w:fldCharType="begin"/>
            </w:r>
            <w:r>
              <w:rPr>
                <w:noProof/>
                <w:webHidden/>
              </w:rPr>
              <w:instrText xml:space="preserve"> PAGEREF _Toc242407904 \h </w:instrText>
            </w:r>
            <w:r>
              <w:rPr>
                <w:noProof/>
                <w:webHidden/>
              </w:rPr>
            </w:r>
            <w:r>
              <w:rPr>
                <w:noProof/>
                <w:webHidden/>
              </w:rPr>
              <w:fldChar w:fldCharType="separate"/>
            </w:r>
            <w:r>
              <w:rPr>
                <w:noProof/>
                <w:webHidden/>
              </w:rPr>
              <w:t>12</w:t>
            </w:r>
            <w:r>
              <w:rPr>
                <w:noProof/>
                <w:webHidden/>
              </w:rPr>
              <w:fldChar w:fldCharType="end"/>
            </w:r>
          </w:hyperlink>
        </w:p>
        <w:p w14:paraId="25099C2C" w14:textId="64162C8F"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05" w:history="1">
            <w:r w:rsidRPr="00BD0C37">
              <w:rPr>
                <w:rStyle w:val="Hyperlink"/>
                <w:noProof/>
              </w:rPr>
              <w:t>2. Literature Review</w:t>
            </w:r>
            <w:r>
              <w:rPr>
                <w:noProof/>
                <w:webHidden/>
              </w:rPr>
              <w:tab/>
            </w:r>
            <w:r>
              <w:rPr>
                <w:noProof/>
                <w:webHidden/>
              </w:rPr>
              <w:fldChar w:fldCharType="begin"/>
            </w:r>
            <w:r>
              <w:rPr>
                <w:noProof/>
                <w:webHidden/>
              </w:rPr>
              <w:instrText xml:space="preserve"> PAGEREF _Toc242407905 \h </w:instrText>
            </w:r>
            <w:r>
              <w:rPr>
                <w:noProof/>
                <w:webHidden/>
              </w:rPr>
            </w:r>
            <w:r>
              <w:rPr>
                <w:noProof/>
                <w:webHidden/>
              </w:rPr>
              <w:fldChar w:fldCharType="separate"/>
            </w:r>
            <w:r>
              <w:rPr>
                <w:noProof/>
                <w:webHidden/>
              </w:rPr>
              <w:t>12</w:t>
            </w:r>
            <w:r>
              <w:rPr>
                <w:noProof/>
                <w:webHidden/>
              </w:rPr>
              <w:fldChar w:fldCharType="end"/>
            </w:r>
          </w:hyperlink>
        </w:p>
        <w:p w14:paraId="7CB90505" w14:textId="58940572"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6" w:history="1">
            <w:r w:rsidRPr="00BD0C37">
              <w:rPr>
                <w:rStyle w:val="Hyperlink"/>
                <w:noProof/>
              </w:rPr>
              <w:t>2.1 Global and Nigerian Immunization Challenges</w:t>
            </w:r>
            <w:r>
              <w:rPr>
                <w:noProof/>
                <w:webHidden/>
              </w:rPr>
              <w:tab/>
            </w:r>
            <w:r>
              <w:rPr>
                <w:noProof/>
                <w:webHidden/>
              </w:rPr>
              <w:fldChar w:fldCharType="begin"/>
            </w:r>
            <w:r>
              <w:rPr>
                <w:noProof/>
                <w:webHidden/>
              </w:rPr>
              <w:instrText xml:space="preserve"> PAGEREF _Toc242407906 \h </w:instrText>
            </w:r>
            <w:r>
              <w:rPr>
                <w:noProof/>
                <w:webHidden/>
              </w:rPr>
            </w:r>
            <w:r>
              <w:rPr>
                <w:noProof/>
                <w:webHidden/>
              </w:rPr>
              <w:fldChar w:fldCharType="separate"/>
            </w:r>
            <w:r>
              <w:rPr>
                <w:noProof/>
                <w:webHidden/>
              </w:rPr>
              <w:t>12</w:t>
            </w:r>
            <w:r>
              <w:rPr>
                <w:noProof/>
                <w:webHidden/>
              </w:rPr>
              <w:fldChar w:fldCharType="end"/>
            </w:r>
          </w:hyperlink>
        </w:p>
        <w:p w14:paraId="61028421" w14:textId="76D4BE3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7" w:history="1">
            <w:r w:rsidRPr="00BD0C37">
              <w:rPr>
                <w:rStyle w:val="Hyperlink"/>
                <w:noProof/>
              </w:rPr>
              <w:t>2.2 Data Quality, Access, and Logistics in Nigeria</w:t>
            </w:r>
            <w:r>
              <w:rPr>
                <w:noProof/>
                <w:webHidden/>
              </w:rPr>
              <w:tab/>
            </w:r>
            <w:r>
              <w:rPr>
                <w:noProof/>
                <w:webHidden/>
              </w:rPr>
              <w:fldChar w:fldCharType="begin"/>
            </w:r>
            <w:r>
              <w:rPr>
                <w:noProof/>
                <w:webHidden/>
              </w:rPr>
              <w:instrText xml:space="preserve"> PAGEREF _Toc242407907 \h </w:instrText>
            </w:r>
            <w:r>
              <w:rPr>
                <w:noProof/>
                <w:webHidden/>
              </w:rPr>
            </w:r>
            <w:r>
              <w:rPr>
                <w:noProof/>
                <w:webHidden/>
              </w:rPr>
              <w:fldChar w:fldCharType="separate"/>
            </w:r>
            <w:r>
              <w:rPr>
                <w:noProof/>
                <w:webHidden/>
              </w:rPr>
              <w:t>13</w:t>
            </w:r>
            <w:r>
              <w:rPr>
                <w:noProof/>
                <w:webHidden/>
              </w:rPr>
              <w:fldChar w:fldCharType="end"/>
            </w:r>
          </w:hyperlink>
        </w:p>
        <w:p w14:paraId="3893D4CF" w14:textId="31751FB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8" w:history="1">
            <w:r w:rsidRPr="00BD0C37">
              <w:rPr>
                <w:rStyle w:val="Hyperlink"/>
                <w:noProof/>
              </w:rPr>
              <w:t>2.3 Predictive Modelling in Sub-Saharan Africa</w:t>
            </w:r>
            <w:r>
              <w:rPr>
                <w:noProof/>
                <w:webHidden/>
              </w:rPr>
              <w:tab/>
            </w:r>
            <w:r>
              <w:rPr>
                <w:noProof/>
                <w:webHidden/>
              </w:rPr>
              <w:fldChar w:fldCharType="begin"/>
            </w:r>
            <w:r>
              <w:rPr>
                <w:noProof/>
                <w:webHidden/>
              </w:rPr>
              <w:instrText xml:space="preserve"> PAGEREF _Toc242407908 \h </w:instrText>
            </w:r>
            <w:r>
              <w:rPr>
                <w:noProof/>
                <w:webHidden/>
              </w:rPr>
            </w:r>
            <w:r>
              <w:rPr>
                <w:noProof/>
                <w:webHidden/>
              </w:rPr>
              <w:fldChar w:fldCharType="separate"/>
            </w:r>
            <w:r>
              <w:rPr>
                <w:noProof/>
                <w:webHidden/>
              </w:rPr>
              <w:t>13</w:t>
            </w:r>
            <w:r>
              <w:rPr>
                <w:noProof/>
                <w:webHidden/>
              </w:rPr>
              <w:fldChar w:fldCharType="end"/>
            </w:r>
          </w:hyperlink>
        </w:p>
        <w:p w14:paraId="1A57D57B" w14:textId="597996B8"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09" w:history="1">
            <w:r w:rsidRPr="00BD0C37">
              <w:rPr>
                <w:rStyle w:val="Hyperlink"/>
                <w:noProof/>
              </w:rPr>
              <w:t>2.4 Outcomes and Challenges of Modelling Application</w:t>
            </w:r>
            <w:r>
              <w:rPr>
                <w:noProof/>
                <w:webHidden/>
              </w:rPr>
              <w:tab/>
            </w:r>
            <w:r>
              <w:rPr>
                <w:noProof/>
                <w:webHidden/>
              </w:rPr>
              <w:fldChar w:fldCharType="begin"/>
            </w:r>
            <w:r>
              <w:rPr>
                <w:noProof/>
                <w:webHidden/>
              </w:rPr>
              <w:instrText xml:space="preserve"> PAGEREF _Toc242407909 \h </w:instrText>
            </w:r>
            <w:r>
              <w:rPr>
                <w:noProof/>
                <w:webHidden/>
              </w:rPr>
            </w:r>
            <w:r>
              <w:rPr>
                <w:noProof/>
                <w:webHidden/>
              </w:rPr>
              <w:fldChar w:fldCharType="separate"/>
            </w:r>
            <w:r>
              <w:rPr>
                <w:noProof/>
                <w:webHidden/>
              </w:rPr>
              <w:t>14</w:t>
            </w:r>
            <w:r>
              <w:rPr>
                <w:noProof/>
                <w:webHidden/>
              </w:rPr>
              <w:fldChar w:fldCharType="end"/>
            </w:r>
          </w:hyperlink>
        </w:p>
        <w:p w14:paraId="36A57FB7" w14:textId="6AC1E2D3"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10" w:history="1">
            <w:r w:rsidRPr="00BD0C37">
              <w:rPr>
                <w:rStyle w:val="Hyperlink"/>
                <w:noProof/>
              </w:rPr>
              <w:t>3. Modelling Domains and Research Questions</w:t>
            </w:r>
            <w:r>
              <w:rPr>
                <w:noProof/>
                <w:webHidden/>
              </w:rPr>
              <w:tab/>
            </w:r>
            <w:r>
              <w:rPr>
                <w:noProof/>
                <w:webHidden/>
              </w:rPr>
              <w:fldChar w:fldCharType="begin"/>
            </w:r>
            <w:r>
              <w:rPr>
                <w:noProof/>
                <w:webHidden/>
              </w:rPr>
              <w:instrText xml:space="preserve"> PAGEREF _Toc242407910 \h </w:instrText>
            </w:r>
            <w:r>
              <w:rPr>
                <w:noProof/>
                <w:webHidden/>
              </w:rPr>
            </w:r>
            <w:r>
              <w:rPr>
                <w:noProof/>
                <w:webHidden/>
              </w:rPr>
              <w:fldChar w:fldCharType="separate"/>
            </w:r>
            <w:r>
              <w:rPr>
                <w:noProof/>
                <w:webHidden/>
              </w:rPr>
              <w:t>15</w:t>
            </w:r>
            <w:r>
              <w:rPr>
                <w:noProof/>
                <w:webHidden/>
              </w:rPr>
              <w:fldChar w:fldCharType="end"/>
            </w:r>
          </w:hyperlink>
        </w:p>
        <w:p w14:paraId="06215385" w14:textId="2C814B87"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11" w:history="1">
            <w:r w:rsidRPr="00BD0C37">
              <w:rPr>
                <w:rStyle w:val="Hyperlink"/>
                <w:noProof/>
              </w:rPr>
              <w:t>4. Methodology including Data Sources</w:t>
            </w:r>
            <w:r>
              <w:rPr>
                <w:noProof/>
                <w:webHidden/>
              </w:rPr>
              <w:tab/>
            </w:r>
            <w:r>
              <w:rPr>
                <w:noProof/>
                <w:webHidden/>
              </w:rPr>
              <w:fldChar w:fldCharType="begin"/>
            </w:r>
            <w:r>
              <w:rPr>
                <w:noProof/>
                <w:webHidden/>
              </w:rPr>
              <w:instrText xml:space="preserve"> PAGEREF _Toc242407911 \h </w:instrText>
            </w:r>
            <w:r>
              <w:rPr>
                <w:noProof/>
                <w:webHidden/>
              </w:rPr>
            </w:r>
            <w:r>
              <w:rPr>
                <w:noProof/>
                <w:webHidden/>
              </w:rPr>
              <w:fldChar w:fldCharType="separate"/>
            </w:r>
            <w:r>
              <w:rPr>
                <w:noProof/>
                <w:webHidden/>
              </w:rPr>
              <w:t>16</w:t>
            </w:r>
            <w:r>
              <w:rPr>
                <w:noProof/>
                <w:webHidden/>
              </w:rPr>
              <w:fldChar w:fldCharType="end"/>
            </w:r>
          </w:hyperlink>
        </w:p>
        <w:p w14:paraId="478DC618" w14:textId="37507654"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2" w:history="1">
            <w:r w:rsidRPr="00BD0C37">
              <w:rPr>
                <w:rStyle w:val="Hyperlink"/>
                <w:noProof/>
              </w:rPr>
              <w:t>4.1 Principal Datasets</w:t>
            </w:r>
            <w:r>
              <w:rPr>
                <w:noProof/>
                <w:webHidden/>
              </w:rPr>
              <w:tab/>
            </w:r>
            <w:r>
              <w:rPr>
                <w:noProof/>
                <w:webHidden/>
              </w:rPr>
              <w:fldChar w:fldCharType="begin"/>
            </w:r>
            <w:r>
              <w:rPr>
                <w:noProof/>
                <w:webHidden/>
              </w:rPr>
              <w:instrText xml:space="preserve"> PAGEREF _Toc242407912 \h </w:instrText>
            </w:r>
            <w:r>
              <w:rPr>
                <w:noProof/>
                <w:webHidden/>
              </w:rPr>
            </w:r>
            <w:r>
              <w:rPr>
                <w:noProof/>
                <w:webHidden/>
              </w:rPr>
              <w:fldChar w:fldCharType="separate"/>
            </w:r>
            <w:r>
              <w:rPr>
                <w:noProof/>
                <w:webHidden/>
              </w:rPr>
              <w:t>16</w:t>
            </w:r>
            <w:r>
              <w:rPr>
                <w:noProof/>
                <w:webHidden/>
              </w:rPr>
              <w:fldChar w:fldCharType="end"/>
            </w:r>
          </w:hyperlink>
        </w:p>
        <w:p w14:paraId="24F56A13" w14:textId="1A6DBD48"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3" w:history="1">
            <w:r w:rsidRPr="00BD0C37">
              <w:rPr>
                <w:rStyle w:val="Hyperlink"/>
                <w:noProof/>
              </w:rPr>
              <w:t>4.2 Analytical Methods</w:t>
            </w:r>
            <w:r>
              <w:rPr>
                <w:noProof/>
                <w:webHidden/>
              </w:rPr>
              <w:tab/>
            </w:r>
            <w:r>
              <w:rPr>
                <w:noProof/>
                <w:webHidden/>
              </w:rPr>
              <w:fldChar w:fldCharType="begin"/>
            </w:r>
            <w:r>
              <w:rPr>
                <w:noProof/>
                <w:webHidden/>
              </w:rPr>
              <w:instrText xml:space="preserve"> PAGEREF _Toc242407913 \h </w:instrText>
            </w:r>
            <w:r>
              <w:rPr>
                <w:noProof/>
                <w:webHidden/>
              </w:rPr>
            </w:r>
            <w:r>
              <w:rPr>
                <w:noProof/>
                <w:webHidden/>
              </w:rPr>
              <w:fldChar w:fldCharType="separate"/>
            </w:r>
            <w:r>
              <w:rPr>
                <w:noProof/>
                <w:webHidden/>
              </w:rPr>
              <w:t>17</w:t>
            </w:r>
            <w:r>
              <w:rPr>
                <w:noProof/>
                <w:webHidden/>
              </w:rPr>
              <w:fldChar w:fldCharType="end"/>
            </w:r>
          </w:hyperlink>
        </w:p>
        <w:p w14:paraId="75F32F32" w14:textId="3B9F7077"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4" w:history="1">
            <w:r w:rsidRPr="00BD0C37">
              <w:rPr>
                <w:rStyle w:val="Hyperlink"/>
                <w:noProof/>
              </w:rPr>
              <w:t>4.3 Analytical Coverage of Local Government Areas</w:t>
            </w:r>
            <w:r>
              <w:rPr>
                <w:noProof/>
                <w:webHidden/>
              </w:rPr>
              <w:tab/>
            </w:r>
            <w:r>
              <w:rPr>
                <w:noProof/>
                <w:webHidden/>
              </w:rPr>
              <w:fldChar w:fldCharType="begin"/>
            </w:r>
            <w:r>
              <w:rPr>
                <w:noProof/>
                <w:webHidden/>
              </w:rPr>
              <w:instrText xml:space="preserve"> PAGEREF _Toc242407914 \h </w:instrText>
            </w:r>
            <w:r>
              <w:rPr>
                <w:noProof/>
                <w:webHidden/>
              </w:rPr>
            </w:r>
            <w:r>
              <w:rPr>
                <w:noProof/>
                <w:webHidden/>
              </w:rPr>
              <w:fldChar w:fldCharType="separate"/>
            </w:r>
            <w:r>
              <w:rPr>
                <w:noProof/>
                <w:webHidden/>
              </w:rPr>
              <w:t>18</w:t>
            </w:r>
            <w:r>
              <w:rPr>
                <w:noProof/>
                <w:webHidden/>
              </w:rPr>
              <w:fldChar w:fldCharType="end"/>
            </w:r>
          </w:hyperlink>
        </w:p>
        <w:p w14:paraId="0D667845" w14:textId="198C8186"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15" w:history="1">
            <w:r w:rsidRPr="00BD0C37">
              <w:rPr>
                <w:rStyle w:val="Hyperlink"/>
                <w:noProof/>
              </w:rPr>
              <w:t>5. Findings by Modelling Domain</w:t>
            </w:r>
            <w:r>
              <w:rPr>
                <w:noProof/>
                <w:webHidden/>
              </w:rPr>
              <w:tab/>
            </w:r>
            <w:r>
              <w:rPr>
                <w:noProof/>
                <w:webHidden/>
              </w:rPr>
              <w:fldChar w:fldCharType="begin"/>
            </w:r>
            <w:r>
              <w:rPr>
                <w:noProof/>
                <w:webHidden/>
              </w:rPr>
              <w:instrText xml:space="preserve"> PAGEREF _Toc242407915 \h </w:instrText>
            </w:r>
            <w:r>
              <w:rPr>
                <w:noProof/>
                <w:webHidden/>
              </w:rPr>
            </w:r>
            <w:r>
              <w:rPr>
                <w:noProof/>
                <w:webHidden/>
              </w:rPr>
              <w:fldChar w:fldCharType="separate"/>
            </w:r>
            <w:r>
              <w:rPr>
                <w:noProof/>
                <w:webHidden/>
              </w:rPr>
              <w:t>18</w:t>
            </w:r>
            <w:r>
              <w:rPr>
                <w:noProof/>
                <w:webHidden/>
              </w:rPr>
              <w:fldChar w:fldCharType="end"/>
            </w:r>
          </w:hyperlink>
        </w:p>
        <w:p w14:paraId="2F20A025" w14:textId="5EC0AF9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6" w:history="1">
            <w:r w:rsidRPr="00BD0C37">
              <w:rPr>
                <w:rStyle w:val="Hyperlink"/>
                <w:noProof/>
              </w:rPr>
              <w:t>5.1 Domain 1 — Antigen Coverage Forecasting</w:t>
            </w:r>
            <w:r>
              <w:rPr>
                <w:noProof/>
                <w:webHidden/>
              </w:rPr>
              <w:tab/>
            </w:r>
            <w:r>
              <w:rPr>
                <w:noProof/>
                <w:webHidden/>
              </w:rPr>
              <w:fldChar w:fldCharType="begin"/>
            </w:r>
            <w:r>
              <w:rPr>
                <w:noProof/>
                <w:webHidden/>
              </w:rPr>
              <w:instrText xml:space="preserve"> PAGEREF _Toc242407916 \h </w:instrText>
            </w:r>
            <w:r>
              <w:rPr>
                <w:noProof/>
                <w:webHidden/>
              </w:rPr>
            </w:r>
            <w:r>
              <w:rPr>
                <w:noProof/>
                <w:webHidden/>
              </w:rPr>
              <w:fldChar w:fldCharType="separate"/>
            </w:r>
            <w:r>
              <w:rPr>
                <w:noProof/>
                <w:webHidden/>
              </w:rPr>
              <w:t>18</w:t>
            </w:r>
            <w:r>
              <w:rPr>
                <w:noProof/>
                <w:webHidden/>
              </w:rPr>
              <w:fldChar w:fldCharType="end"/>
            </w:r>
          </w:hyperlink>
        </w:p>
        <w:p w14:paraId="11AC844F" w14:textId="174F50F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7" w:history="1">
            <w:r w:rsidRPr="00BD0C37">
              <w:rPr>
                <w:rStyle w:val="Hyperlink"/>
                <w:noProof/>
              </w:rPr>
              <w:t>5.1.1 The Wider Antigen Panel</w:t>
            </w:r>
            <w:r>
              <w:rPr>
                <w:noProof/>
                <w:webHidden/>
              </w:rPr>
              <w:tab/>
            </w:r>
            <w:r>
              <w:rPr>
                <w:noProof/>
                <w:webHidden/>
              </w:rPr>
              <w:fldChar w:fldCharType="begin"/>
            </w:r>
            <w:r>
              <w:rPr>
                <w:noProof/>
                <w:webHidden/>
              </w:rPr>
              <w:instrText xml:space="preserve"> PAGEREF _Toc242407917 \h </w:instrText>
            </w:r>
            <w:r>
              <w:rPr>
                <w:noProof/>
                <w:webHidden/>
              </w:rPr>
            </w:r>
            <w:r>
              <w:rPr>
                <w:noProof/>
                <w:webHidden/>
              </w:rPr>
              <w:fldChar w:fldCharType="separate"/>
            </w:r>
            <w:r>
              <w:rPr>
                <w:noProof/>
                <w:webHidden/>
              </w:rPr>
              <w:t>21</w:t>
            </w:r>
            <w:r>
              <w:rPr>
                <w:noProof/>
                <w:webHidden/>
              </w:rPr>
              <w:fldChar w:fldCharType="end"/>
            </w:r>
          </w:hyperlink>
        </w:p>
        <w:p w14:paraId="225C8E83" w14:textId="63BEC64F"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8" w:history="1">
            <w:r w:rsidRPr="00BD0C37">
              <w:rPr>
                <w:rStyle w:val="Hyperlink"/>
                <w:noProof/>
              </w:rPr>
              <w:t>5.1.2 Reading the At-Risk-of-Decline Flag Correctly</w:t>
            </w:r>
            <w:r>
              <w:rPr>
                <w:noProof/>
                <w:webHidden/>
              </w:rPr>
              <w:tab/>
            </w:r>
            <w:r>
              <w:rPr>
                <w:noProof/>
                <w:webHidden/>
              </w:rPr>
              <w:fldChar w:fldCharType="begin"/>
            </w:r>
            <w:r>
              <w:rPr>
                <w:noProof/>
                <w:webHidden/>
              </w:rPr>
              <w:instrText xml:space="preserve"> PAGEREF _Toc242407918 \h </w:instrText>
            </w:r>
            <w:r>
              <w:rPr>
                <w:noProof/>
                <w:webHidden/>
              </w:rPr>
            </w:r>
            <w:r>
              <w:rPr>
                <w:noProof/>
                <w:webHidden/>
              </w:rPr>
              <w:fldChar w:fldCharType="separate"/>
            </w:r>
            <w:r>
              <w:rPr>
                <w:noProof/>
                <w:webHidden/>
              </w:rPr>
              <w:t>22</w:t>
            </w:r>
            <w:r>
              <w:rPr>
                <w:noProof/>
                <w:webHidden/>
              </w:rPr>
              <w:fldChar w:fldCharType="end"/>
            </w:r>
          </w:hyperlink>
        </w:p>
        <w:p w14:paraId="53D3F9D3" w14:textId="04EDEF3C"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19" w:history="1">
            <w:r w:rsidRPr="00BD0C37">
              <w:rPr>
                <w:rStyle w:val="Hyperlink"/>
                <w:noProof/>
              </w:rPr>
              <w:t>5.2 Domain 2 — Dropout and Incomplete Vaccination</w:t>
            </w:r>
            <w:r>
              <w:rPr>
                <w:noProof/>
                <w:webHidden/>
              </w:rPr>
              <w:tab/>
            </w:r>
            <w:r>
              <w:rPr>
                <w:noProof/>
                <w:webHidden/>
              </w:rPr>
              <w:fldChar w:fldCharType="begin"/>
            </w:r>
            <w:r>
              <w:rPr>
                <w:noProof/>
                <w:webHidden/>
              </w:rPr>
              <w:instrText xml:space="preserve"> PAGEREF _Toc242407919 \h </w:instrText>
            </w:r>
            <w:r>
              <w:rPr>
                <w:noProof/>
                <w:webHidden/>
              </w:rPr>
            </w:r>
            <w:r>
              <w:rPr>
                <w:noProof/>
                <w:webHidden/>
              </w:rPr>
              <w:fldChar w:fldCharType="separate"/>
            </w:r>
            <w:r>
              <w:rPr>
                <w:noProof/>
                <w:webHidden/>
              </w:rPr>
              <w:t>23</w:t>
            </w:r>
            <w:r>
              <w:rPr>
                <w:noProof/>
                <w:webHidden/>
              </w:rPr>
              <w:fldChar w:fldCharType="end"/>
            </w:r>
          </w:hyperlink>
        </w:p>
        <w:p w14:paraId="06240360" w14:textId="018859DE"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0" w:history="1">
            <w:r w:rsidRPr="00BD0C37">
              <w:rPr>
                <w:rStyle w:val="Hyperlink"/>
                <w:noProof/>
              </w:rPr>
              <w:t>5.3 Domain 3 — Equity and Zero-Dose Risk Stratification</w:t>
            </w:r>
            <w:r>
              <w:rPr>
                <w:noProof/>
                <w:webHidden/>
              </w:rPr>
              <w:tab/>
            </w:r>
            <w:r>
              <w:rPr>
                <w:noProof/>
                <w:webHidden/>
              </w:rPr>
              <w:fldChar w:fldCharType="begin"/>
            </w:r>
            <w:r>
              <w:rPr>
                <w:noProof/>
                <w:webHidden/>
              </w:rPr>
              <w:instrText xml:space="preserve"> PAGEREF _Toc242407920 \h </w:instrText>
            </w:r>
            <w:r>
              <w:rPr>
                <w:noProof/>
                <w:webHidden/>
              </w:rPr>
            </w:r>
            <w:r>
              <w:rPr>
                <w:noProof/>
                <w:webHidden/>
              </w:rPr>
              <w:fldChar w:fldCharType="separate"/>
            </w:r>
            <w:r>
              <w:rPr>
                <w:noProof/>
                <w:webHidden/>
              </w:rPr>
              <w:t>24</w:t>
            </w:r>
            <w:r>
              <w:rPr>
                <w:noProof/>
                <w:webHidden/>
              </w:rPr>
              <w:fldChar w:fldCharType="end"/>
            </w:r>
          </w:hyperlink>
        </w:p>
        <w:p w14:paraId="2EA226AF" w14:textId="11BC5D49"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1" w:history="1">
            <w:r w:rsidRPr="00BD0C37">
              <w:rPr>
                <w:rStyle w:val="Hyperlink"/>
                <w:noProof/>
              </w:rPr>
              <w:t>5.3.1 Equity Analysis at LGA Level</w:t>
            </w:r>
            <w:r>
              <w:rPr>
                <w:noProof/>
                <w:webHidden/>
              </w:rPr>
              <w:tab/>
            </w:r>
            <w:r>
              <w:rPr>
                <w:noProof/>
                <w:webHidden/>
              </w:rPr>
              <w:fldChar w:fldCharType="begin"/>
            </w:r>
            <w:r>
              <w:rPr>
                <w:noProof/>
                <w:webHidden/>
              </w:rPr>
              <w:instrText xml:space="preserve"> PAGEREF _Toc242407921 \h </w:instrText>
            </w:r>
            <w:r>
              <w:rPr>
                <w:noProof/>
                <w:webHidden/>
              </w:rPr>
            </w:r>
            <w:r>
              <w:rPr>
                <w:noProof/>
                <w:webHidden/>
              </w:rPr>
              <w:fldChar w:fldCharType="separate"/>
            </w:r>
            <w:r>
              <w:rPr>
                <w:noProof/>
                <w:webHidden/>
              </w:rPr>
              <w:t>26</w:t>
            </w:r>
            <w:r>
              <w:rPr>
                <w:noProof/>
                <w:webHidden/>
              </w:rPr>
              <w:fldChar w:fldCharType="end"/>
            </w:r>
          </w:hyperlink>
        </w:p>
        <w:p w14:paraId="1DB2D2E1" w14:textId="560A9E7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2" w:history="1">
            <w:r w:rsidRPr="00BD0C37">
              <w:rPr>
                <w:rStyle w:val="Hyperlink"/>
                <w:noProof/>
              </w:rPr>
              <w:t>5.4 Domain 4 — Vaccine Hesitancy</w:t>
            </w:r>
            <w:r>
              <w:rPr>
                <w:noProof/>
                <w:webHidden/>
              </w:rPr>
              <w:tab/>
            </w:r>
            <w:r>
              <w:rPr>
                <w:noProof/>
                <w:webHidden/>
              </w:rPr>
              <w:fldChar w:fldCharType="begin"/>
            </w:r>
            <w:r>
              <w:rPr>
                <w:noProof/>
                <w:webHidden/>
              </w:rPr>
              <w:instrText xml:space="preserve"> PAGEREF _Toc242407922 \h </w:instrText>
            </w:r>
            <w:r>
              <w:rPr>
                <w:noProof/>
                <w:webHidden/>
              </w:rPr>
            </w:r>
            <w:r>
              <w:rPr>
                <w:noProof/>
                <w:webHidden/>
              </w:rPr>
              <w:fldChar w:fldCharType="separate"/>
            </w:r>
            <w:r>
              <w:rPr>
                <w:noProof/>
                <w:webHidden/>
              </w:rPr>
              <w:t>27</w:t>
            </w:r>
            <w:r>
              <w:rPr>
                <w:noProof/>
                <w:webHidden/>
              </w:rPr>
              <w:fldChar w:fldCharType="end"/>
            </w:r>
          </w:hyperlink>
        </w:p>
        <w:p w14:paraId="7050CA44" w14:textId="6D8CC4B5"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3" w:history="1">
            <w:r w:rsidRPr="00BD0C37">
              <w:rPr>
                <w:rStyle w:val="Hyperlink"/>
                <w:noProof/>
              </w:rPr>
              <w:t>5.5 Domain 5 — Where Zero-Dose Children Concentrate, and the Archetypes Behind Them</w:t>
            </w:r>
            <w:r>
              <w:rPr>
                <w:noProof/>
                <w:webHidden/>
              </w:rPr>
              <w:tab/>
            </w:r>
            <w:r>
              <w:rPr>
                <w:noProof/>
                <w:webHidden/>
              </w:rPr>
              <w:fldChar w:fldCharType="begin"/>
            </w:r>
            <w:r>
              <w:rPr>
                <w:noProof/>
                <w:webHidden/>
              </w:rPr>
              <w:instrText xml:space="preserve"> PAGEREF _Toc242407923 \h </w:instrText>
            </w:r>
            <w:r>
              <w:rPr>
                <w:noProof/>
                <w:webHidden/>
              </w:rPr>
            </w:r>
            <w:r>
              <w:rPr>
                <w:noProof/>
                <w:webHidden/>
              </w:rPr>
              <w:fldChar w:fldCharType="separate"/>
            </w:r>
            <w:r>
              <w:rPr>
                <w:noProof/>
                <w:webHidden/>
              </w:rPr>
              <w:t>28</w:t>
            </w:r>
            <w:r>
              <w:rPr>
                <w:noProof/>
                <w:webHidden/>
              </w:rPr>
              <w:fldChar w:fldCharType="end"/>
            </w:r>
          </w:hyperlink>
        </w:p>
        <w:p w14:paraId="666C8C4F" w14:textId="155FE061"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4" w:history="1">
            <w:r w:rsidRPr="00BD0C37">
              <w:rPr>
                <w:rStyle w:val="Hyperlink"/>
                <w:noProof/>
              </w:rPr>
              <w:t>5.5.1 Community Archetypes at LGA Level</w:t>
            </w:r>
            <w:r>
              <w:rPr>
                <w:noProof/>
                <w:webHidden/>
              </w:rPr>
              <w:tab/>
            </w:r>
            <w:r>
              <w:rPr>
                <w:noProof/>
                <w:webHidden/>
              </w:rPr>
              <w:fldChar w:fldCharType="begin"/>
            </w:r>
            <w:r>
              <w:rPr>
                <w:noProof/>
                <w:webHidden/>
              </w:rPr>
              <w:instrText xml:space="preserve"> PAGEREF _Toc242407924 \h </w:instrText>
            </w:r>
            <w:r>
              <w:rPr>
                <w:noProof/>
                <w:webHidden/>
              </w:rPr>
            </w:r>
            <w:r>
              <w:rPr>
                <w:noProof/>
                <w:webHidden/>
              </w:rPr>
              <w:fldChar w:fldCharType="separate"/>
            </w:r>
            <w:r>
              <w:rPr>
                <w:noProof/>
                <w:webHidden/>
              </w:rPr>
              <w:t>31</w:t>
            </w:r>
            <w:r>
              <w:rPr>
                <w:noProof/>
                <w:webHidden/>
              </w:rPr>
              <w:fldChar w:fldCharType="end"/>
            </w:r>
          </w:hyperlink>
        </w:p>
        <w:p w14:paraId="6D4FAB68" w14:textId="32D4E509"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5" w:history="1">
            <w:r w:rsidRPr="00BD0C37">
              <w:rPr>
                <w:rStyle w:val="Hyperlink"/>
                <w:noProof/>
              </w:rPr>
              <w:t>5.5.2 The Ranked LGA Priority List</w:t>
            </w:r>
            <w:r>
              <w:rPr>
                <w:noProof/>
                <w:webHidden/>
              </w:rPr>
              <w:tab/>
            </w:r>
            <w:r>
              <w:rPr>
                <w:noProof/>
                <w:webHidden/>
              </w:rPr>
              <w:fldChar w:fldCharType="begin"/>
            </w:r>
            <w:r>
              <w:rPr>
                <w:noProof/>
                <w:webHidden/>
              </w:rPr>
              <w:instrText xml:space="preserve"> PAGEREF _Toc242407925 \h </w:instrText>
            </w:r>
            <w:r>
              <w:rPr>
                <w:noProof/>
                <w:webHidden/>
              </w:rPr>
            </w:r>
            <w:r>
              <w:rPr>
                <w:noProof/>
                <w:webHidden/>
              </w:rPr>
              <w:fldChar w:fldCharType="separate"/>
            </w:r>
            <w:r>
              <w:rPr>
                <w:noProof/>
                <w:webHidden/>
              </w:rPr>
              <w:t>33</w:t>
            </w:r>
            <w:r>
              <w:rPr>
                <w:noProof/>
                <w:webHidden/>
              </w:rPr>
              <w:fldChar w:fldCharType="end"/>
            </w:r>
          </w:hyperlink>
        </w:p>
        <w:p w14:paraId="246FA686" w14:textId="7CED2D5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6" w:history="1">
            <w:r w:rsidRPr="00BD0C37">
              <w:rPr>
                <w:rStyle w:val="Hyperlink"/>
                <w:noProof/>
              </w:rPr>
              <w:t>5.5.3 Maternal Care and Immunization Gaps Occupy the Same Geography</w:t>
            </w:r>
            <w:r>
              <w:rPr>
                <w:noProof/>
                <w:webHidden/>
              </w:rPr>
              <w:tab/>
            </w:r>
            <w:r>
              <w:rPr>
                <w:noProof/>
                <w:webHidden/>
              </w:rPr>
              <w:fldChar w:fldCharType="begin"/>
            </w:r>
            <w:r>
              <w:rPr>
                <w:noProof/>
                <w:webHidden/>
              </w:rPr>
              <w:instrText xml:space="preserve"> PAGEREF _Toc242407926 \h </w:instrText>
            </w:r>
            <w:r>
              <w:rPr>
                <w:noProof/>
                <w:webHidden/>
              </w:rPr>
            </w:r>
            <w:r>
              <w:rPr>
                <w:noProof/>
                <w:webHidden/>
              </w:rPr>
              <w:fldChar w:fldCharType="separate"/>
            </w:r>
            <w:r>
              <w:rPr>
                <w:noProof/>
                <w:webHidden/>
              </w:rPr>
              <w:t>34</w:t>
            </w:r>
            <w:r>
              <w:rPr>
                <w:noProof/>
                <w:webHidden/>
              </w:rPr>
              <w:fldChar w:fldCharType="end"/>
            </w:r>
          </w:hyperlink>
        </w:p>
        <w:p w14:paraId="6A543254" w14:textId="388D70B9"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7" w:history="1">
            <w:r w:rsidRPr="00BD0C37">
              <w:rPr>
                <w:rStyle w:val="Hyperlink"/>
                <w:noProof/>
              </w:rPr>
              <w:t>5.5.4 Method 2: Bayesian Small-Area Estimation for All 774 LGAs</w:t>
            </w:r>
            <w:r>
              <w:rPr>
                <w:noProof/>
                <w:webHidden/>
              </w:rPr>
              <w:tab/>
            </w:r>
            <w:r>
              <w:rPr>
                <w:noProof/>
                <w:webHidden/>
              </w:rPr>
              <w:fldChar w:fldCharType="begin"/>
            </w:r>
            <w:r>
              <w:rPr>
                <w:noProof/>
                <w:webHidden/>
              </w:rPr>
              <w:instrText xml:space="preserve"> PAGEREF _Toc242407927 \h </w:instrText>
            </w:r>
            <w:r>
              <w:rPr>
                <w:noProof/>
                <w:webHidden/>
              </w:rPr>
            </w:r>
            <w:r>
              <w:rPr>
                <w:noProof/>
                <w:webHidden/>
              </w:rPr>
              <w:fldChar w:fldCharType="separate"/>
            </w:r>
            <w:r>
              <w:rPr>
                <w:noProof/>
                <w:webHidden/>
              </w:rPr>
              <w:t>35</w:t>
            </w:r>
            <w:r>
              <w:rPr>
                <w:noProof/>
                <w:webHidden/>
              </w:rPr>
              <w:fldChar w:fldCharType="end"/>
            </w:r>
          </w:hyperlink>
        </w:p>
        <w:p w14:paraId="3B1B9D94" w14:textId="5ED43221"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8" w:history="1">
            <w:r w:rsidRPr="00BD0C37">
              <w:rPr>
                <w:rStyle w:val="Hyperlink"/>
                <w:noProof/>
              </w:rPr>
              <w:t>5.5.5 Comparison of Method 1 and Method 2</w:t>
            </w:r>
            <w:r>
              <w:rPr>
                <w:noProof/>
                <w:webHidden/>
              </w:rPr>
              <w:tab/>
            </w:r>
            <w:r>
              <w:rPr>
                <w:noProof/>
                <w:webHidden/>
              </w:rPr>
              <w:fldChar w:fldCharType="begin"/>
            </w:r>
            <w:r>
              <w:rPr>
                <w:noProof/>
                <w:webHidden/>
              </w:rPr>
              <w:instrText xml:space="preserve"> PAGEREF _Toc242407928 \h </w:instrText>
            </w:r>
            <w:r>
              <w:rPr>
                <w:noProof/>
                <w:webHidden/>
              </w:rPr>
            </w:r>
            <w:r>
              <w:rPr>
                <w:noProof/>
                <w:webHidden/>
              </w:rPr>
              <w:fldChar w:fldCharType="separate"/>
            </w:r>
            <w:r>
              <w:rPr>
                <w:noProof/>
                <w:webHidden/>
              </w:rPr>
              <w:t>39</w:t>
            </w:r>
            <w:r>
              <w:rPr>
                <w:noProof/>
                <w:webHidden/>
              </w:rPr>
              <w:fldChar w:fldCharType="end"/>
            </w:r>
          </w:hyperlink>
        </w:p>
        <w:p w14:paraId="2D79012C" w14:textId="01336D37"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29" w:history="1">
            <w:r w:rsidRPr="00BD0C37">
              <w:rPr>
                <w:rStyle w:val="Hyperlink"/>
                <w:noProof/>
              </w:rPr>
              <w:t>5.6 Domain 6 — Polio Risk and the Interruption Pathway</w:t>
            </w:r>
            <w:r>
              <w:rPr>
                <w:noProof/>
                <w:webHidden/>
              </w:rPr>
              <w:tab/>
            </w:r>
            <w:r>
              <w:rPr>
                <w:noProof/>
                <w:webHidden/>
              </w:rPr>
              <w:fldChar w:fldCharType="begin"/>
            </w:r>
            <w:r>
              <w:rPr>
                <w:noProof/>
                <w:webHidden/>
              </w:rPr>
              <w:instrText xml:space="preserve"> PAGEREF _Toc242407929 \h </w:instrText>
            </w:r>
            <w:r>
              <w:rPr>
                <w:noProof/>
                <w:webHidden/>
              </w:rPr>
            </w:r>
            <w:r>
              <w:rPr>
                <w:noProof/>
                <w:webHidden/>
              </w:rPr>
              <w:fldChar w:fldCharType="separate"/>
            </w:r>
            <w:r>
              <w:rPr>
                <w:noProof/>
                <w:webHidden/>
              </w:rPr>
              <w:t>42</w:t>
            </w:r>
            <w:r>
              <w:rPr>
                <w:noProof/>
                <w:webHidden/>
              </w:rPr>
              <w:fldChar w:fldCharType="end"/>
            </w:r>
          </w:hyperlink>
        </w:p>
        <w:p w14:paraId="162EB6A0" w14:textId="4B00092A"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30" w:history="1">
            <w:r w:rsidRPr="00BD0C37">
              <w:rPr>
                <w:rStyle w:val="Hyperlink"/>
                <w:noProof/>
              </w:rPr>
              <w:t>5.7 Domain 7 — Outbreak Risk and the Coverage-to-Mortality Link</w:t>
            </w:r>
            <w:r>
              <w:rPr>
                <w:noProof/>
                <w:webHidden/>
              </w:rPr>
              <w:tab/>
            </w:r>
            <w:r>
              <w:rPr>
                <w:noProof/>
                <w:webHidden/>
              </w:rPr>
              <w:fldChar w:fldCharType="begin"/>
            </w:r>
            <w:r>
              <w:rPr>
                <w:noProof/>
                <w:webHidden/>
              </w:rPr>
              <w:instrText xml:space="preserve"> PAGEREF _Toc242407930 \h </w:instrText>
            </w:r>
            <w:r>
              <w:rPr>
                <w:noProof/>
                <w:webHidden/>
              </w:rPr>
            </w:r>
            <w:r>
              <w:rPr>
                <w:noProof/>
                <w:webHidden/>
              </w:rPr>
              <w:fldChar w:fldCharType="separate"/>
            </w:r>
            <w:r>
              <w:rPr>
                <w:noProof/>
                <w:webHidden/>
              </w:rPr>
              <w:t>44</w:t>
            </w:r>
            <w:r>
              <w:rPr>
                <w:noProof/>
                <w:webHidden/>
              </w:rPr>
              <w:fldChar w:fldCharType="end"/>
            </w:r>
          </w:hyperlink>
        </w:p>
        <w:p w14:paraId="1920D019" w14:textId="6C0AA1CD"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31" w:history="1">
            <w:r w:rsidRPr="00BD0C37">
              <w:rPr>
                <w:rStyle w:val="Hyperlink"/>
                <w:noProof/>
              </w:rPr>
              <w:t>5.8 The Predictive Modelling Platform</w:t>
            </w:r>
            <w:r>
              <w:rPr>
                <w:noProof/>
                <w:webHidden/>
              </w:rPr>
              <w:tab/>
            </w:r>
            <w:r>
              <w:rPr>
                <w:noProof/>
                <w:webHidden/>
              </w:rPr>
              <w:fldChar w:fldCharType="begin"/>
            </w:r>
            <w:r>
              <w:rPr>
                <w:noProof/>
                <w:webHidden/>
              </w:rPr>
              <w:instrText xml:space="preserve"> PAGEREF _Toc242407931 \h </w:instrText>
            </w:r>
            <w:r>
              <w:rPr>
                <w:noProof/>
                <w:webHidden/>
              </w:rPr>
            </w:r>
            <w:r>
              <w:rPr>
                <w:noProof/>
                <w:webHidden/>
              </w:rPr>
              <w:fldChar w:fldCharType="separate"/>
            </w:r>
            <w:r>
              <w:rPr>
                <w:noProof/>
                <w:webHidden/>
              </w:rPr>
              <w:t>46</w:t>
            </w:r>
            <w:r>
              <w:rPr>
                <w:noProof/>
                <w:webHidden/>
              </w:rPr>
              <w:fldChar w:fldCharType="end"/>
            </w:r>
          </w:hyperlink>
        </w:p>
        <w:p w14:paraId="1ADC1CDC" w14:textId="41045CD3"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32" w:history="1">
            <w:r w:rsidRPr="00BD0C37">
              <w:rPr>
                <w:rStyle w:val="Hyperlink"/>
                <w:noProof/>
              </w:rPr>
              <w:t>5.9 External Validation Against Independent Data</w:t>
            </w:r>
            <w:r>
              <w:rPr>
                <w:noProof/>
                <w:webHidden/>
              </w:rPr>
              <w:tab/>
            </w:r>
            <w:r>
              <w:rPr>
                <w:noProof/>
                <w:webHidden/>
              </w:rPr>
              <w:fldChar w:fldCharType="begin"/>
            </w:r>
            <w:r>
              <w:rPr>
                <w:noProof/>
                <w:webHidden/>
              </w:rPr>
              <w:instrText xml:space="preserve"> PAGEREF _Toc242407932 \h </w:instrText>
            </w:r>
            <w:r>
              <w:rPr>
                <w:noProof/>
                <w:webHidden/>
              </w:rPr>
            </w:r>
            <w:r>
              <w:rPr>
                <w:noProof/>
                <w:webHidden/>
              </w:rPr>
              <w:fldChar w:fldCharType="separate"/>
            </w:r>
            <w:r>
              <w:rPr>
                <w:noProof/>
                <w:webHidden/>
              </w:rPr>
              <w:t>47</w:t>
            </w:r>
            <w:r>
              <w:rPr>
                <w:noProof/>
                <w:webHidden/>
              </w:rPr>
              <w:fldChar w:fldCharType="end"/>
            </w:r>
          </w:hyperlink>
        </w:p>
        <w:p w14:paraId="094BEC3B" w14:textId="7944EBE9"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33" w:history="1">
            <w:r w:rsidRPr="00BD0C37">
              <w:rPr>
                <w:rStyle w:val="Hyperlink"/>
                <w:noProof/>
              </w:rPr>
              <w:t>6. Readiness Assessment: Baseline and Endline</w:t>
            </w:r>
            <w:r>
              <w:rPr>
                <w:noProof/>
                <w:webHidden/>
              </w:rPr>
              <w:tab/>
            </w:r>
            <w:r>
              <w:rPr>
                <w:noProof/>
                <w:webHidden/>
              </w:rPr>
              <w:fldChar w:fldCharType="begin"/>
            </w:r>
            <w:r>
              <w:rPr>
                <w:noProof/>
                <w:webHidden/>
              </w:rPr>
              <w:instrText xml:space="preserve"> PAGEREF _Toc242407933 \h </w:instrText>
            </w:r>
            <w:r>
              <w:rPr>
                <w:noProof/>
                <w:webHidden/>
              </w:rPr>
            </w:r>
            <w:r>
              <w:rPr>
                <w:noProof/>
                <w:webHidden/>
              </w:rPr>
              <w:fldChar w:fldCharType="separate"/>
            </w:r>
            <w:r>
              <w:rPr>
                <w:noProof/>
                <w:webHidden/>
              </w:rPr>
              <w:t>49</w:t>
            </w:r>
            <w:r>
              <w:rPr>
                <w:noProof/>
                <w:webHidden/>
              </w:rPr>
              <w:fldChar w:fldCharType="end"/>
            </w:r>
          </w:hyperlink>
        </w:p>
        <w:p w14:paraId="40B251C6" w14:textId="078AC8F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34" w:history="1">
            <w:r w:rsidRPr="00BD0C37">
              <w:rPr>
                <w:rStyle w:val="Hyperlink"/>
                <w:noProof/>
              </w:rPr>
              <w:t>6.1 Baseline Findings</w:t>
            </w:r>
            <w:r>
              <w:rPr>
                <w:noProof/>
                <w:webHidden/>
              </w:rPr>
              <w:tab/>
            </w:r>
            <w:r>
              <w:rPr>
                <w:noProof/>
                <w:webHidden/>
              </w:rPr>
              <w:fldChar w:fldCharType="begin"/>
            </w:r>
            <w:r>
              <w:rPr>
                <w:noProof/>
                <w:webHidden/>
              </w:rPr>
              <w:instrText xml:space="preserve"> PAGEREF _Toc242407934 \h </w:instrText>
            </w:r>
            <w:r>
              <w:rPr>
                <w:noProof/>
                <w:webHidden/>
              </w:rPr>
            </w:r>
            <w:r>
              <w:rPr>
                <w:noProof/>
                <w:webHidden/>
              </w:rPr>
              <w:fldChar w:fldCharType="separate"/>
            </w:r>
            <w:r>
              <w:rPr>
                <w:noProof/>
                <w:webHidden/>
              </w:rPr>
              <w:t>49</w:t>
            </w:r>
            <w:r>
              <w:rPr>
                <w:noProof/>
                <w:webHidden/>
              </w:rPr>
              <w:fldChar w:fldCharType="end"/>
            </w:r>
          </w:hyperlink>
        </w:p>
        <w:p w14:paraId="13F7F791" w14:textId="6F75BBED"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35" w:history="1">
            <w:r w:rsidRPr="00BD0C37">
              <w:rPr>
                <w:rStyle w:val="Hyperlink"/>
                <w:rFonts w:cs="Times New Roman"/>
                <w:noProof/>
              </w:rPr>
              <w:t>6.1.1 Quantitative readiness (baseline)</w:t>
            </w:r>
            <w:r>
              <w:rPr>
                <w:noProof/>
                <w:webHidden/>
              </w:rPr>
              <w:tab/>
            </w:r>
            <w:r>
              <w:rPr>
                <w:noProof/>
                <w:webHidden/>
              </w:rPr>
              <w:fldChar w:fldCharType="begin"/>
            </w:r>
            <w:r>
              <w:rPr>
                <w:noProof/>
                <w:webHidden/>
              </w:rPr>
              <w:instrText xml:space="preserve"> PAGEREF _Toc242407935 \h </w:instrText>
            </w:r>
            <w:r>
              <w:rPr>
                <w:noProof/>
                <w:webHidden/>
              </w:rPr>
            </w:r>
            <w:r>
              <w:rPr>
                <w:noProof/>
                <w:webHidden/>
              </w:rPr>
              <w:fldChar w:fldCharType="separate"/>
            </w:r>
            <w:r>
              <w:rPr>
                <w:noProof/>
                <w:webHidden/>
              </w:rPr>
              <w:t>50</w:t>
            </w:r>
            <w:r>
              <w:rPr>
                <w:noProof/>
                <w:webHidden/>
              </w:rPr>
              <w:fldChar w:fldCharType="end"/>
            </w:r>
          </w:hyperlink>
        </w:p>
        <w:p w14:paraId="2AE138F7" w14:textId="1F8208BE"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36" w:history="1">
            <w:r w:rsidRPr="00BD0C37">
              <w:rPr>
                <w:rStyle w:val="Hyperlink"/>
                <w:rFonts w:cs="Times New Roman"/>
                <w:noProof/>
              </w:rPr>
              <w:t>6.1.2 Qualitative findings (baseline)</w:t>
            </w:r>
            <w:r>
              <w:rPr>
                <w:noProof/>
                <w:webHidden/>
              </w:rPr>
              <w:tab/>
            </w:r>
            <w:r>
              <w:rPr>
                <w:noProof/>
                <w:webHidden/>
              </w:rPr>
              <w:fldChar w:fldCharType="begin"/>
            </w:r>
            <w:r>
              <w:rPr>
                <w:noProof/>
                <w:webHidden/>
              </w:rPr>
              <w:instrText xml:space="preserve"> PAGEREF _Toc242407936 \h </w:instrText>
            </w:r>
            <w:r>
              <w:rPr>
                <w:noProof/>
                <w:webHidden/>
              </w:rPr>
            </w:r>
            <w:r>
              <w:rPr>
                <w:noProof/>
                <w:webHidden/>
              </w:rPr>
              <w:fldChar w:fldCharType="separate"/>
            </w:r>
            <w:r>
              <w:rPr>
                <w:noProof/>
                <w:webHidden/>
              </w:rPr>
              <w:t>51</w:t>
            </w:r>
            <w:r>
              <w:rPr>
                <w:noProof/>
                <w:webHidden/>
              </w:rPr>
              <w:fldChar w:fldCharType="end"/>
            </w:r>
          </w:hyperlink>
        </w:p>
        <w:p w14:paraId="1D53138E" w14:textId="4EEFF261"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37" w:history="1">
            <w:r w:rsidRPr="00BD0C37">
              <w:rPr>
                <w:rStyle w:val="Hyperlink"/>
                <w:noProof/>
              </w:rPr>
              <w:t>6.2 Endline Findings</w:t>
            </w:r>
            <w:r>
              <w:rPr>
                <w:noProof/>
                <w:webHidden/>
              </w:rPr>
              <w:tab/>
            </w:r>
            <w:r>
              <w:rPr>
                <w:noProof/>
                <w:webHidden/>
              </w:rPr>
              <w:fldChar w:fldCharType="begin"/>
            </w:r>
            <w:r>
              <w:rPr>
                <w:noProof/>
                <w:webHidden/>
              </w:rPr>
              <w:instrText xml:space="preserve"> PAGEREF _Toc242407937 \h </w:instrText>
            </w:r>
            <w:r>
              <w:rPr>
                <w:noProof/>
                <w:webHidden/>
              </w:rPr>
            </w:r>
            <w:r>
              <w:rPr>
                <w:noProof/>
                <w:webHidden/>
              </w:rPr>
              <w:fldChar w:fldCharType="separate"/>
            </w:r>
            <w:r>
              <w:rPr>
                <w:noProof/>
                <w:webHidden/>
              </w:rPr>
              <w:t>52</w:t>
            </w:r>
            <w:r>
              <w:rPr>
                <w:noProof/>
                <w:webHidden/>
              </w:rPr>
              <w:fldChar w:fldCharType="end"/>
            </w:r>
          </w:hyperlink>
        </w:p>
        <w:p w14:paraId="1721EE6D" w14:textId="3664402B"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38" w:history="1">
            <w:r w:rsidRPr="00BD0C37">
              <w:rPr>
                <w:rStyle w:val="Hyperlink"/>
                <w:rFonts w:cs="Times New Roman"/>
                <w:noProof/>
              </w:rPr>
              <w:t>6.2.1 Quantitative Readiness (Endline)</w:t>
            </w:r>
            <w:r>
              <w:rPr>
                <w:noProof/>
                <w:webHidden/>
              </w:rPr>
              <w:tab/>
            </w:r>
            <w:r>
              <w:rPr>
                <w:noProof/>
                <w:webHidden/>
              </w:rPr>
              <w:fldChar w:fldCharType="begin"/>
            </w:r>
            <w:r>
              <w:rPr>
                <w:noProof/>
                <w:webHidden/>
              </w:rPr>
              <w:instrText xml:space="preserve"> PAGEREF _Toc242407938 \h </w:instrText>
            </w:r>
            <w:r>
              <w:rPr>
                <w:noProof/>
                <w:webHidden/>
              </w:rPr>
            </w:r>
            <w:r>
              <w:rPr>
                <w:noProof/>
                <w:webHidden/>
              </w:rPr>
              <w:fldChar w:fldCharType="separate"/>
            </w:r>
            <w:r>
              <w:rPr>
                <w:noProof/>
                <w:webHidden/>
              </w:rPr>
              <w:t>52</w:t>
            </w:r>
            <w:r>
              <w:rPr>
                <w:noProof/>
                <w:webHidden/>
              </w:rPr>
              <w:fldChar w:fldCharType="end"/>
            </w:r>
          </w:hyperlink>
        </w:p>
        <w:p w14:paraId="0BC49C26" w14:textId="42258E7C"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39" w:history="1">
            <w:r w:rsidRPr="00BD0C37">
              <w:rPr>
                <w:rStyle w:val="Hyperlink"/>
                <w:rFonts w:cs="Times New Roman"/>
                <w:noProof/>
              </w:rPr>
              <w:t>6.2.2 Qualitative Findings (Endline)</w:t>
            </w:r>
            <w:r>
              <w:rPr>
                <w:noProof/>
                <w:webHidden/>
              </w:rPr>
              <w:tab/>
            </w:r>
            <w:r>
              <w:rPr>
                <w:noProof/>
                <w:webHidden/>
              </w:rPr>
              <w:fldChar w:fldCharType="begin"/>
            </w:r>
            <w:r>
              <w:rPr>
                <w:noProof/>
                <w:webHidden/>
              </w:rPr>
              <w:instrText xml:space="preserve"> PAGEREF _Toc242407939 \h </w:instrText>
            </w:r>
            <w:r>
              <w:rPr>
                <w:noProof/>
                <w:webHidden/>
              </w:rPr>
            </w:r>
            <w:r>
              <w:rPr>
                <w:noProof/>
                <w:webHidden/>
              </w:rPr>
              <w:fldChar w:fldCharType="separate"/>
            </w:r>
            <w:r>
              <w:rPr>
                <w:noProof/>
                <w:webHidden/>
              </w:rPr>
              <w:t>55</w:t>
            </w:r>
            <w:r>
              <w:rPr>
                <w:noProof/>
                <w:webHidden/>
              </w:rPr>
              <w:fldChar w:fldCharType="end"/>
            </w:r>
          </w:hyperlink>
        </w:p>
        <w:p w14:paraId="10A71B66" w14:textId="3B266B4D"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40" w:history="1">
            <w:r w:rsidRPr="00BD0C37">
              <w:rPr>
                <w:rStyle w:val="Hyperlink"/>
                <w:noProof/>
              </w:rPr>
              <w:t>7. Stakeholder Engagement, Digital Gap Remediation and Close-out Activities</w:t>
            </w:r>
            <w:r>
              <w:rPr>
                <w:noProof/>
                <w:webHidden/>
              </w:rPr>
              <w:tab/>
            </w:r>
            <w:r>
              <w:rPr>
                <w:noProof/>
                <w:webHidden/>
              </w:rPr>
              <w:fldChar w:fldCharType="begin"/>
            </w:r>
            <w:r>
              <w:rPr>
                <w:noProof/>
                <w:webHidden/>
              </w:rPr>
              <w:instrText xml:space="preserve"> PAGEREF _Toc242407940 \h </w:instrText>
            </w:r>
            <w:r>
              <w:rPr>
                <w:noProof/>
                <w:webHidden/>
              </w:rPr>
            </w:r>
            <w:r>
              <w:rPr>
                <w:noProof/>
                <w:webHidden/>
              </w:rPr>
              <w:fldChar w:fldCharType="separate"/>
            </w:r>
            <w:r>
              <w:rPr>
                <w:noProof/>
                <w:webHidden/>
              </w:rPr>
              <w:t>60</w:t>
            </w:r>
            <w:r>
              <w:rPr>
                <w:noProof/>
                <w:webHidden/>
              </w:rPr>
              <w:fldChar w:fldCharType="end"/>
            </w:r>
          </w:hyperlink>
        </w:p>
        <w:p w14:paraId="75D2D75E" w14:textId="34A0DA3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41" w:history="1">
            <w:r w:rsidRPr="00BD0C37">
              <w:rPr>
                <w:rStyle w:val="Hyperlink"/>
                <w:noProof/>
              </w:rPr>
              <w:t>7.1 Stakeholders Engaged</w:t>
            </w:r>
            <w:r>
              <w:rPr>
                <w:noProof/>
                <w:webHidden/>
              </w:rPr>
              <w:tab/>
            </w:r>
            <w:r>
              <w:rPr>
                <w:noProof/>
                <w:webHidden/>
              </w:rPr>
              <w:fldChar w:fldCharType="begin"/>
            </w:r>
            <w:r>
              <w:rPr>
                <w:noProof/>
                <w:webHidden/>
              </w:rPr>
              <w:instrText xml:space="preserve"> PAGEREF _Toc242407941 \h </w:instrText>
            </w:r>
            <w:r>
              <w:rPr>
                <w:noProof/>
                <w:webHidden/>
              </w:rPr>
            </w:r>
            <w:r>
              <w:rPr>
                <w:noProof/>
                <w:webHidden/>
              </w:rPr>
              <w:fldChar w:fldCharType="separate"/>
            </w:r>
            <w:r>
              <w:rPr>
                <w:noProof/>
                <w:webHidden/>
              </w:rPr>
              <w:t>60</w:t>
            </w:r>
            <w:r>
              <w:rPr>
                <w:noProof/>
                <w:webHidden/>
              </w:rPr>
              <w:fldChar w:fldCharType="end"/>
            </w:r>
          </w:hyperlink>
        </w:p>
        <w:p w14:paraId="349D1DA5" w14:textId="43A0D500"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42" w:history="1">
            <w:r w:rsidRPr="00BD0C37">
              <w:rPr>
                <w:rStyle w:val="Hyperlink"/>
                <w:noProof/>
              </w:rPr>
              <w:t>7.2 Preparatory Engagement, State Entry and Participant Selection</w:t>
            </w:r>
            <w:r>
              <w:rPr>
                <w:noProof/>
                <w:webHidden/>
              </w:rPr>
              <w:tab/>
            </w:r>
            <w:r>
              <w:rPr>
                <w:noProof/>
                <w:webHidden/>
              </w:rPr>
              <w:fldChar w:fldCharType="begin"/>
            </w:r>
            <w:r>
              <w:rPr>
                <w:noProof/>
                <w:webHidden/>
              </w:rPr>
              <w:instrText xml:space="preserve"> PAGEREF _Toc242407942 \h </w:instrText>
            </w:r>
            <w:r>
              <w:rPr>
                <w:noProof/>
                <w:webHidden/>
              </w:rPr>
            </w:r>
            <w:r>
              <w:rPr>
                <w:noProof/>
                <w:webHidden/>
              </w:rPr>
              <w:fldChar w:fldCharType="separate"/>
            </w:r>
            <w:r>
              <w:rPr>
                <w:noProof/>
                <w:webHidden/>
              </w:rPr>
              <w:t>60</w:t>
            </w:r>
            <w:r>
              <w:rPr>
                <w:noProof/>
                <w:webHidden/>
              </w:rPr>
              <w:fldChar w:fldCharType="end"/>
            </w:r>
          </w:hyperlink>
        </w:p>
        <w:p w14:paraId="0A871D62" w14:textId="171D8CB9"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43" w:history="1">
            <w:r w:rsidRPr="00BD0C37">
              <w:rPr>
                <w:rStyle w:val="Hyperlink"/>
                <w:noProof/>
              </w:rPr>
              <w:t>7.3 Remedy Plan to Address Digital and DIH Gaps</w:t>
            </w:r>
            <w:r>
              <w:rPr>
                <w:noProof/>
                <w:webHidden/>
              </w:rPr>
              <w:tab/>
            </w:r>
            <w:r>
              <w:rPr>
                <w:noProof/>
                <w:webHidden/>
              </w:rPr>
              <w:fldChar w:fldCharType="begin"/>
            </w:r>
            <w:r>
              <w:rPr>
                <w:noProof/>
                <w:webHidden/>
              </w:rPr>
              <w:instrText xml:space="preserve"> PAGEREF _Toc242407943 \h </w:instrText>
            </w:r>
            <w:r>
              <w:rPr>
                <w:noProof/>
                <w:webHidden/>
              </w:rPr>
            </w:r>
            <w:r>
              <w:rPr>
                <w:noProof/>
                <w:webHidden/>
              </w:rPr>
              <w:fldChar w:fldCharType="separate"/>
            </w:r>
            <w:r>
              <w:rPr>
                <w:noProof/>
                <w:webHidden/>
              </w:rPr>
              <w:t>62</w:t>
            </w:r>
            <w:r>
              <w:rPr>
                <w:noProof/>
                <w:webHidden/>
              </w:rPr>
              <w:fldChar w:fldCharType="end"/>
            </w:r>
          </w:hyperlink>
        </w:p>
        <w:p w14:paraId="7C7EF54A" w14:textId="63C64F3C"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4" w:history="1">
            <w:r w:rsidRPr="00BD0C37">
              <w:rPr>
                <w:rStyle w:val="Hyperlink"/>
                <w:rFonts w:cs="Times New Roman"/>
                <w:noProof/>
              </w:rPr>
              <w:t>7.3.1 DIH Governance, Ownership and Workflow Activation</w:t>
            </w:r>
            <w:r>
              <w:rPr>
                <w:noProof/>
                <w:webHidden/>
              </w:rPr>
              <w:tab/>
            </w:r>
            <w:r>
              <w:rPr>
                <w:noProof/>
                <w:webHidden/>
              </w:rPr>
              <w:fldChar w:fldCharType="begin"/>
            </w:r>
            <w:r>
              <w:rPr>
                <w:noProof/>
                <w:webHidden/>
              </w:rPr>
              <w:instrText xml:space="preserve"> PAGEREF _Toc242407944 \h </w:instrText>
            </w:r>
            <w:r>
              <w:rPr>
                <w:noProof/>
                <w:webHidden/>
              </w:rPr>
            </w:r>
            <w:r>
              <w:rPr>
                <w:noProof/>
                <w:webHidden/>
              </w:rPr>
              <w:fldChar w:fldCharType="separate"/>
            </w:r>
            <w:r>
              <w:rPr>
                <w:noProof/>
                <w:webHidden/>
              </w:rPr>
              <w:t>62</w:t>
            </w:r>
            <w:r>
              <w:rPr>
                <w:noProof/>
                <w:webHidden/>
              </w:rPr>
              <w:fldChar w:fldCharType="end"/>
            </w:r>
          </w:hyperlink>
        </w:p>
        <w:p w14:paraId="2D951D08" w14:textId="63CE154D"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5" w:history="1">
            <w:r w:rsidRPr="00BD0C37">
              <w:rPr>
                <w:rStyle w:val="Hyperlink"/>
                <w:rFonts w:cs="Times New Roman"/>
                <w:noProof/>
              </w:rPr>
              <w:t>7.3.2 Hardware, Power and Connectivity Remediation</w:t>
            </w:r>
            <w:r>
              <w:rPr>
                <w:noProof/>
                <w:webHidden/>
              </w:rPr>
              <w:tab/>
            </w:r>
            <w:r>
              <w:rPr>
                <w:noProof/>
                <w:webHidden/>
              </w:rPr>
              <w:fldChar w:fldCharType="begin"/>
            </w:r>
            <w:r>
              <w:rPr>
                <w:noProof/>
                <w:webHidden/>
              </w:rPr>
              <w:instrText xml:space="preserve"> PAGEREF _Toc242407945 \h </w:instrText>
            </w:r>
            <w:r>
              <w:rPr>
                <w:noProof/>
                <w:webHidden/>
              </w:rPr>
            </w:r>
            <w:r>
              <w:rPr>
                <w:noProof/>
                <w:webHidden/>
              </w:rPr>
              <w:fldChar w:fldCharType="separate"/>
            </w:r>
            <w:r>
              <w:rPr>
                <w:noProof/>
                <w:webHidden/>
              </w:rPr>
              <w:t>62</w:t>
            </w:r>
            <w:r>
              <w:rPr>
                <w:noProof/>
                <w:webHidden/>
              </w:rPr>
              <w:fldChar w:fldCharType="end"/>
            </w:r>
          </w:hyperlink>
        </w:p>
        <w:p w14:paraId="4C878D34" w14:textId="438FDD1E"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6" w:history="1">
            <w:r w:rsidRPr="00BD0C37">
              <w:rPr>
                <w:rStyle w:val="Hyperlink"/>
                <w:rFonts w:cs="Times New Roman"/>
                <w:noProof/>
              </w:rPr>
              <w:t>7.3.3 Data Integration, Hosting and Digital Workflow</w:t>
            </w:r>
            <w:r>
              <w:rPr>
                <w:noProof/>
                <w:webHidden/>
              </w:rPr>
              <w:tab/>
            </w:r>
            <w:r>
              <w:rPr>
                <w:noProof/>
                <w:webHidden/>
              </w:rPr>
              <w:fldChar w:fldCharType="begin"/>
            </w:r>
            <w:r>
              <w:rPr>
                <w:noProof/>
                <w:webHidden/>
              </w:rPr>
              <w:instrText xml:space="preserve"> PAGEREF _Toc242407946 \h </w:instrText>
            </w:r>
            <w:r>
              <w:rPr>
                <w:noProof/>
                <w:webHidden/>
              </w:rPr>
            </w:r>
            <w:r>
              <w:rPr>
                <w:noProof/>
                <w:webHidden/>
              </w:rPr>
              <w:fldChar w:fldCharType="separate"/>
            </w:r>
            <w:r>
              <w:rPr>
                <w:noProof/>
                <w:webHidden/>
              </w:rPr>
              <w:t>62</w:t>
            </w:r>
            <w:r>
              <w:rPr>
                <w:noProof/>
                <w:webHidden/>
              </w:rPr>
              <w:fldChar w:fldCharType="end"/>
            </w:r>
          </w:hyperlink>
        </w:p>
        <w:p w14:paraId="0740E0CE" w14:textId="26E8F540"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7" w:history="1">
            <w:r w:rsidRPr="00BD0C37">
              <w:rPr>
                <w:rStyle w:val="Hyperlink"/>
                <w:rFonts w:cs="Times New Roman"/>
                <w:noProof/>
              </w:rPr>
              <w:t>7.3.4 Data Quality, Denominator Validation and Reporting Completeness</w:t>
            </w:r>
            <w:r>
              <w:rPr>
                <w:noProof/>
                <w:webHidden/>
              </w:rPr>
              <w:tab/>
            </w:r>
            <w:r>
              <w:rPr>
                <w:noProof/>
                <w:webHidden/>
              </w:rPr>
              <w:fldChar w:fldCharType="begin"/>
            </w:r>
            <w:r>
              <w:rPr>
                <w:noProof/>
                <w:webHidden/>
              </w:rPr>
              <w:instrText xml:space="preserve"> PAGEREF _Toc242407947 \h </w:instrText>
            </w:r>
            <w:r>
              <w:rPr>
                <w:noProof/>
                <w:webHidden/>
              </w:rPr>
            </w:r>
            <w:r>
              <w:rPr>
                <w:noProof/>
                <w:webHidden/>
              </w:rPr>
              <w:fldChar w:fldCharType="separate"/>
            </w:r>
            <w:r>
              <w:rPr>
                <w:noProof/>
                <w:webHidden/>
              </w:rPr>
              <w:t>62</w:t>
            </w:r>
            <w:r>
              <w:rPr>
                <w:noProof/>
                <w:webHidden/>
              </w:rPr>
              <w:fldChar w:fldCharType="end"/>
            </w:r>
          </w:hyperlink>
        </w:p>
        <w:p w14:paraId="5EFCFB4D" w14:textId="1914D892"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8" w:history="1">
            <w:r w:rsidRPr="00BD0C37">
              <w:rPr>
                <w:rStyle w:val="Hyperlink"/>
                <w:rFonts w:cs="Times New Roman"/>
                <w:noProof/>
              </w:rPr>
              <w:t>7.3.5 Capacity Development and Routine Use</w:t>
            </w:r>
            <w:r>
              <w:rPr>
                <w:noProof/>
                <w:webHidden/>
              </w:rPr>
              <w:tab/>
            </w:r>
            <w:r>
              <w:rPr>
                <w:noProof/>
                <w:webHidden/>
              </w:rPr>
              <w:fldChar w:fldCharType="begin"/>
            </w:r>
            <w:r>
              <w:rPr>
                <w:noProof/>
                <w:webHidden/>
              </w:rPr>
              <w:instrText xml:space="preserve"> PAGEREF _Toc242407948 \h </w:instrText>
            </w:r>
            <w:r>
              <w:rPr>
                <w:noProof/>
                <w:webHidden/>
              </w:rPr>
            </w:r>
            <w:r>
              <w:rPr>
                <w:noProof/>
                <w:webHidden/>
              </w:rPr>
              <w:fldChar w:fldCharType="separate"/>
            </w:r>
            <w:r>
              <w:rPr>
                <w:noProof/>
                <w:webHidden/>
              </w:rPr>
              <w:t>63</w:t>
            </w:r>
            <w:r>
              <w:rPr>
                <w:noProof/>
                <w:webHidden/>
              </w:rPr>
              <w:fldChar w:fldCharType="end"/>
            </w:r>
          </w:hyperlink>
        </w:p>
        <w:p w14:paraId="2A41A938" w14:textId="565B4BAA"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49" w:history="1">
            <w:r w:rsidRPr="00BD0C37">
              <w:rPr>
                <w:rStyle w:val="Hyperlink"/>
                <w:rFonts w:cs="Times New Roman"/>
                <w:noProof/>
              </w:rPr>
              <w:t>7.3.6 Platform Expansion Based on Stakeholder Feedback</w:t>
            </w:r>
            <w:r>
              <w:rPr>
                <w:noProof/>
                <w:webHidden/>
              </w:rPr>
              <w:tab/>
            </w:r>
            <w:r>
              <w:rPr>
                <w:noProof/>
                <w:webHidden/>
              </w:rPr>
              <w:fldChar w:fldCharType="begin"/>
            </w:r>
            <w:r>
              <w:rPr>
                <w:noProof/>
                <w:webHidden/>
              </w:rPr>
              <w:instrText xml:space="preserve"> PAGEREF _Toc242407949 \h </w:instrText>
            </w:r>
            <w:r>
              <w:rPr>
                <w:noProof/>
                <w:webHidden/>
              </w:rPr>
            </w:r>
            <w:r>
              <w:rPr>
                <w:noProof/>
                <w:webHidden/>
              </w:rPr>
              <w:fldChar w:fldCharType="separate"/>
            </w:r>
            <w:r>
              <w:rPr>
                <w:noProof/>
                <w:webHidden/>
              </w:rPr>
              <w:t>63</w:t>
            </w:r>
            <w:r>
              <w:rPr>
                <w:noProof/>
                <w:webHidden/>
              </w:rPr>
              <w:fldChar w:fldCharType="end"/>
            </w:r>
          </w:hyperlink>
        </w:p>
        <w:p w14:paraId="34058091" w14:textId="558DB9CA"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50" w:history="1">
            <w:r w:rsidRPr="00BD0C37">
              <w:rPr>
                <w:rStyle w:val="Hyperlink"/>
                <w:noProof/>
              </w:rPr>
              <w:t>7.4 Close-out Meetings and Dissemination Activities</w:t>
            </w:r>
            <w:r>
              <w:rPr>
                <w:noProof/>
                <w:webHidden/>
              </w:rPr>
              <w:tab/>
            </w:r>
            <w:r>
              <w:rPr>
                <w:noProof/>
                <w:webHidden/>
              </w:rPr>
              <w:fldChar w:fldCharType="begin"/>
            </w:r>
            <w:r>
              <w:rPr>
                <w:noProof/>
                <w:webHidden/>
              </w:rPr>
              <w:instrText xml:space="preserve"> PAGEREF _Toc242407950 \h </w:instrText>
            </w:r>
            <w:r>
              <w:rPr>
                <w:noProof/>
                <w:webHidden/>
              </w:rPr>
            </w:r>
            <w:r>
              <w:rPr>
                <w:noProof/>
                <w:webHidden/>
              </w:rPr>
              <w:fldChar w:fldCharType="separate"/>
            </w:r>
            <w:r>
              <w:rPr>
                <w:noProof/>
                <w:webHidden/>
              </w:rPr>
              <w:t>63</w:t>
            </w:r>
            <w:r>
              <w:rPr>
                <w:noProof/>
                <w:webHidden/>
              </w:rPr>
              <w:fldChar w:fldCharType="end"/>
            </w:r>
          </w:hyperlink>
        </w:p>
        <w:p w14:paraId="52220F7E" w14:textId="38739B01"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51" w:history="1">
            <w:r w:rsidRPr="00BD0C37">
              <w:rPr>
                <w:rStyle w:val="Hyperlink"/>
                <w:rFonts w:cs="Times New Roman"/>
                <w:noProof/>
              </w:rPr>
              <w:t>7.4.1 GAVI Engagements</w:t>
            </w:r>
            <w:r>
              <w:rPr>
                <w:noProof/>
                <w:webHidden/>
              </w:rPr>
              <w:tab/>
            </w:r>
            <w:r>
              <w:rPr>
                <w:noProof/>
                <w:webHidden/>
              </w:rPr>
              <w:fldChar w:fldCharType="begin"/>
            </w:r>
            <w:r>
              <w:rPr>
                <w:noProof/>
                <w:webHidden/>
              </w:rPr>
              <w:instrText xml:space="preserve"> PAGEREF _Toc242407951 \h </w:instrText>
            </w:r>
            <w:r>
              <w:rPr>
                <w:noProof/>
                <w:webHidden/>
              </w:rPr>
            </w:r>
            <w:r>
              <w:rPr>
                <w:noProof/>
                <w:webHidden/>
              </w:rPr>
              <w:fldChar w:fldCharType="separate"/>
            </w:r>
            <w:r>
              <w:rPr>
                <w:noProof/>
                <w:webHidden/>
              </w:rPr>
              <w:t>63</w:t>
            </w:r>
            <w:r>
              <w:rPr>
                <w:noProof/>
                <w:webHidden/>
              </w:rPr>
              <w:fldChar w:fldCharType="end"/>
            </w:r>
          </w:hyperlink>
        </w:p>
        <w:p w14:paraId="7FB94649" w14:textId="2DADF350"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52" w:history="1">
            <w:r w:rsidRPr="00BD0C37">
              <w:rPr>
                <w:rStyle w:val="Hyperlink"/>
                <w:rFonts w:cs="Times New Roman"/>
                <w:noProof/>
              </w:rPr>
              <w:t>7.4.2 NPHCDA Leadership and Technical Staff Meeting</w:t>
            </w:r>
            <w:r>
              <w:rPr>
                <w:noProof/>
                <w:webHidden/>
              </w:rPr>
              <w:tab/>
            </w:r>
            <w:r>
              <w:rPr>
                <w:noProof/>
                <w:webHidden/>
              </w:rPr>
              <w:fldChar w:fldCharType="begin"/>
            </w:r>
            <w:r>
              <w:rPr>
                <w:noProof/>
                <w:webHidden/>
              </w:rPr>
              <w:instrText xml:space="preserve"> PAGEREF _Toc242407952 \h </w:instrText>
            </w:r>
            <w:r>
              <w:rPr>
                <w:noProof/>
                <w:webHidden/>
              </w:rPr>
            </w:r>
            <w:r>
              <w:rPr>
                <w:noProof/>
                <w:webHidden/>
              </w:rPr>
              <w:fldChar w:fldCharType="separate"/>
            </w:r>
            <w:r>
              <w:rPr>
                <w:noProof/>
                <w:webHidden/>
              </w:rPr>
              <w:t>63</w:t>
            </w:r>
            <w:r>
              <w:rPr>
                <w:noProof/>
                <w:webHidden/>
              </w:rPr>
              <w:fldChar w:fldCharType="end"/>
            </w:r>
          </w:hyperlink>
        </w:p>
        <w:p w14:paraId="01CA65D8" w14:textId="3A8C51BC"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53" w:history="1">
            <w:r w:rsidRPr="00BD0C37">
              <w:rPr>
                <w:rStyle w:val="Hyperlink"/>
                <w:rFonts w:cs="Times New Roman"/>
                <w:noProof/>
              </w:rPr>
              <w:t>7.4.3 Meeting with the Executive Director</w:t>
            </w:r>
            <w:r>
              <w:rPr>
                <w:noProof/>
                <w:webHidden/>
              </w:rPr>
              <w:tab/>
            </w:r>
            <w:r>
              <w:rPr>
                <w:noProof/>
                <w:webHidden/>
              </w:rPr>
              <w:fldChar w:fldCharType="begin"/>
            </w:r>
            <w:r>
              <w:rPr>
                <w:noProof/>
                <w:webHidden/>
              </w:rPr>
              <w:instrText xml:space="preserve"> PAGEREF _Toc242407953 \h </w:instrText>
            </w:r>
            <w:r>
              <w:rPr>
                <w:noProof/>
                <w:webHidden/>
              </w:rPr>
            </w:r>
            <w:r>
              <w:rPr>
                <w:noProof/>
                <w:webHidden/>
              </w:rPr>
              <w:fldChar w:fldCharType="separate"/>
            </w:r>
            <w:r>
              <w:rPr>
                <w:noProof/>
                <w:webHidden/>
              </w:rPr>
              <w:t>63</w:t>
            </w:r>
            <w:r>
              <w:rPr>
                <w:noProof/>
                <w:webHidden/>
              </w:rPr>
              <w:fldChar w:fldCharType="end"/>
            </w:r>
          </w:hyperlink>
        </w:p>
        <w:p w14:paraId="4CB1C4BE" w14:textId="1087E3DD"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54" w:history="1">
            <w:r w:rsidRPr="00BD0C37">
              <w:rPr>
                <w:rStyle w:val="Hyperlink"/>
                <w:rFonts w:cs="Times New Roman"/>
                <w:noProof/>
              </w:rPr>
              <w:t>7.4.4 DIH Handover and Operationalization Meeting</w:t>
            </w:r>
            <w:r>
              <w:rPr>
                <w:noProof/>
                <w:webHidden/>
              </w:rPr>
              <w:tab/>
            </w:r>
            <w:r>
              <w:rPr>
                <w:noProof/>
                <w:webHidden/>
              </w:rPr>
              <w:fldChar w:fldCharType="begin"/>
            </w:r>
            <w:r>
              <w:rPr>
                <w:noProof/>
                <w:webHidden/>
              </w:rPr>
              <w:instrText xml:space="preserve"> PAGEREF _Toc242407954 \h </w:instrText>
            </w:r>
            <w:r>
              <w:rPr>
                <w:noProof/>
                <w:webHidden/>
              </w:rPr>
            </w:r>
            <w:r>
              <w:rPr>
                <w:noProof/>
                <w:webHidden/>
              </w:rPr>
              <w:fldChar w:fldCharType="separate"/>
            </w:r>
            <w:r>
              <w:rPr>
                <w:noProof/>
                <w:webHidden/>
              </w:rPr>
              <w:t>64</w:t>
            </w:r>
            <w:r>
              <w:rPr>
                <w:noProof/>
                <w:webHidden/>
              </w:rPr>
              <w:fldChar w:fldCharType="end"/>
            </w:r>
          </w:hyperlink>
        </w:p>
        <w:p w14:paraId="5AD58C7C" w14:textId="70C721E6" w:rsidR="009D346F" w:rsidRDefault="009D346F">
          <w:pPr>
            <w:pStyle w:val="TOC3"/>
            <w:tabs>
              <w:tab w:val="right" w:leader="dot" w:pos="9016"/>
            </w:tabs>
            <w:rPr>
              <w:rFonts w:eastAsiaTheme="minorEastAsia" w:cstheme="minorBidi"/>
              <w:i w:val="0"/>
              <w:iCs w:val="0"/>
              <w:noProof/>
              <w:kern w:val="2"/>
              <w:sz w:val="24"/>
              <w:szCs w:val="24"/>
              <w14:ligatures w14:val="standardContextual"/>
            </w:rPr>
          </w:pPr>
          <w:hyperlink w:anchor="_Toc242407955" w:history="1">
            <w:r w:rsidRPr="00BD0C37">
              <w:rPr>
                <w:rStyle w:val="Hyperlink"/>
                <w:rFonts w:cs="Times New Roman"/>
                <w:noProof/>
              </w:rPr>
              <w:t>7.4.5 Routine Immunization Technical Working Group Meeting</w:t>
            </w:r>
            <w:r>
              <w:rPr>
                <w:noProof/>
                <w:webHidden/>
              </w:rPr>
              <w:tab/>
            </w:r>
            <w:r>
              <w:rPr>
                <w:noProof/>
                <w:webHidden/>
              </w:rPr>
              <w:fldChar w:fldCharType="begin"/>
            </w:r>
            <w:r>
              <w:rPr>
                <w:noProof/>
                <w:webHidden/>
              </w:rPr>
              <w:instrText xml:space="preserve"> PAGEREF _Toc242407955 \h </w:instrText>
            </w:r>
            <w:r>
              <w:rPr>
                <w:noProof/>
                <w:webHidden/>
              </w:rPr>
            </w:r>
            <w:r>
              <w:rPr>
                <w:noProof/>
                <w:webHidden/>
              </w:rPr>
              <w:fldChar w:fldCharType="separate"/>
            </w:r>
            <w:r>
              <w:rPr>
                <w:noProof/>
                <w:webHidden/>
              </w:rPr>
              <w:t>64</w:t>
            </w:r>
            <w:r>
              <w:rPr>
                <w:noProof/>
                <w:webHidden/>
              </w:rPr>
              <w:fldChar w:fldCharType="end"/>
            </w:r>
          </w:hyperlink>
        </w:p>
        <w:p w14:paraId="4D7B4B43" w14:textId="3477B76E"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56" w:history="1">
            <w:r w:rsidRPr="00BD0C37">
              <w:rPr>
                <w:rStyle w:val="Hyperlink"/>
                <w:noProof/>
              </w:rPr>
              <w:t>8. Discussion</w:t>
            </w:r>
            <w:r>
              <w:rPr>
                <w:noProof/>
                <w:webHidden/>
              </w:rPr>
              <w:tab/>
            </w:r>
            <w:r>
              <w:rPr>
                <w:noProof/>
                <w:webHidden/>
              </w:rPr>
              <w:fldChar w:fldCharType="begin"/>
            </w:r>
            <w:r>
              <w:rPr>
                <w:noProof/>
                <w:webHidden/>
              </w:rPr>
              <w:instrText xml:space="preserve"> PAGEREF _Toc242407956 \h </w:instrText>
            </w:r>
            <w:r>
              <w:rPr>
                <w:noProof/>
                <w:webHidden/>
              </w:rPr>
            </w:r>
            <w:r>
              <w:rPr>
                <w:noProof/>
                <w:webHidden/>
              </w:rPr>
              <w:fldChar w:fldCharType="separate"/>
            </w:r>
            <w:r>
              <w:rPr>
                <w:noProof/>
                <w:webHidden/>
              </w:rPr>
              <w:t>65</w:t>
            </w:r>
            <w:r>
              <w:rPr>
                <w:noProof/>
                <w:webHidden/>
              </w:rPr>
              <w:fldChar w:fldCharType="end"/>
            </w:r>
          </w:hyperlink>
        </w:p>
        <w:p w14:paraId="0E03177E" w14:textId="6C153F72"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57" w:history="1">
            <w:r w:rsidRPr="00BD0C37">
              <w:rPr>
                <w:rStyle w:val="Hyperlink"/>
                <w:noProof/>
              </w:rPr>
              <w:t>9. Conclusions and Recommendations</w:t>
            </w:r>
            <w:r>
              <w:rPr>
                <w:noProof/>
                <w:webHidden/>
              </w:rPr>
              <w:tab/>
            </w:r>
            <w:r>
              <w:rPr>
                <w:noProof/>
                <w:webHidden/>
              </w:rPr>
              <w:fldChar w:fldCharType="begin"/>
            </w:r>
            <w:r>
              <w:rPr>
                <w:noProof/>
                <w:webHidden/>
              </w:rPr>
              <w:instrText xml:space="preserve"> PAGEREF _Toc242407957 \h </w:instrText>
            </w:r>
            <w:r>
              <w:rPr>
                <w:noProof/>
                <w:webHidden/>
              </w:rPr>
            </w:r>
            <w:r>
              <w:rPr>
                <w:noProof/>
                <w:webHidden/>
              </w:rPr>
              <w:fldChar w:fldCharType="separate"/>
            </w:r>
            <w:r>
              <w:rPr>
                <w:noProof/>
                <w:webHidden/>
              </w:rPr>
              <w:t>67</w:t>
            </w:r>
            <w:r>
              <w:rPr>
                <w:noProof/>
                <w:webHidden/>
              </w:rPr>
              <w:fldChar w:fldCharType="end"/>
            </w:r>
          </w:hyperlink>
        </w:p>
        <w:p w14:paraId="27A9018F" w14:textId="75E67F3C"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58" w:history="1">
            <w:r w:rsidRPr="00BD0C37">
              <w:rPr>
                <w:rStyle w:val="Hyperlink"/>
                <w:noProof/>
              </w:rPr>
              <w:t>9.1 Conclusions</w:t>
            </w:r>
            <w:r>
              <w:rPr>
                <w:noProof/>
                <w:webHidden/>
              </w:rPr>
              <w:tab/>
            </w:r>
            <w:r>
              <w:rPr>
                <w:noProof/>
                <w:webHidden/>
              </w:rPr>
              <w:fldChar w:fldCharType="begin"/>
            </w:r>
            <w:r>
              <w:rPr>
                <w:noProof/>
                <w:webHidden/>
              </w:rPr>
              <w:instrText xml:space="preserve"> PAGEREF _Toc242407958 \h </w:instrText>
            </w:r>
            <w:r>
              <w:rPr>
                <w:noProof/>
                <w:webHidden/>
              </w:rPr>
            </w:r>
            <w:r>
              <w:rPr>
                <w:noProof/>
                <w:webHidden/>
              </w:rPr>
              <w:fldChar w:fldCharType="separate"/>
            </w:r>
            <w:r>
              <w:rPr>
                <w:noProof/>
                <w:webHidden/>
              </w:rPr>
              <w:t>67</w:t>
            </w:r>
            <w:r>
              <w:rPr>
                <w:noProof/>
                <w:webHidden/>
              </w:rPr>
              <w:fldChar w:fldCharType="end"/>
            </w:r>
          </w:hyperlink>
        </w:p>
        <w:p w14:paraId="19AD9B0D" w14:textId="316FD1B8"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59" w:history="1">
            <w:r w:rsidRPr="00BD0C37">
              <w:rPr>
                <w:rStyle w:val="Hyperlink"/>
                <w:noProof/>
              </w:rPr>
              <w:t>9.2 Recommendations</w:t>
            </w:r>
            <w:r>
              <w:rPr>
                <w:noProof/>
                <w:webHidden/>
              </w:rPr>
              <w:tab/>
            </w:r>
            <w:r>
              <w:rPr>
                <w:noProof/>
                <w:webHidden/>
              </w:rPr>
              <w:fldChar w:fldCharType="begin"/>
            </w:r>
            <w:r>
              <w:rPr>
                <w:noProof/>
                <w:webHidden/>
              </w:rPr>
              <w:instrText xml:space="preserve"> PAGEREF _Toc242407959 \h </w:instrText>
            </w:r>
            <w:r>
              <w:rPr>
                <w:noProof/>
                <w:webHidden/>
              </w:rPr>
            </w:r>
            <w:r>
              <w:rPr>
                <w:noProof/>
                <w:webHidden/>
              </w:rPr>
              <w:fldChar w:fldCharType="separate"/>
            </w:r>
            <w:r>
              <w:rPr>
                <w:noProof/>
                <w:webHidden/>
              </w:rPr>
              <w:t>67</w:t>
            </w:r>
            <w:r>
              <w:rPr>
                <w:noProof/>
                <w:webHidden/>
              </w:rPr>
              <w:fldChar w:fldCharType="end"/>
            </w:r>
          </w:hyperlink>
        </w:p>
        <w:p w14:paraId="3421FBDE" w14:textId="4688F9A6" w:rsidR="009D346F" w:rsidRDefault="009D346F">
          <w:pPr>
            <w:pStyle w:val="TOC2"/>
            <w:tabs>
              <w:tab w:val="right" w:leader="dot" w:pos="9016"/>
            </w:tabs>
            <w:rPr>
              <w:rFonts w:eastAsiaTheme="minorEastAsia" w:cstheme="minorBidi"/>
              <w:smallCaps w:val="0"/>
              <w:noProof/>
              <w:kern w:val="2"/>
              <w:sz w:val="24"/>
              <w:szCs w:val="24"/>
              <w14:ligatures w14:val="standardContextual"/>
            </w:rPr>
          </w:pPr>
          <w:hyperlink w:anchor="_Toc242407960" w:history="1">
            <w:r w:rsidRPr="00BD0C37">
              <w:rPr>
                <w:rStyle w:val="Hyperlink"/>
                <w:noProof/>
              </w:rPr>
              <w:t>9.3 Limitations and Next Steps</w:t>
            </w:r>
            <w:r>
              <w:rPr>
                <w:noProof/>
                <w:webHidden/>
              </w:rPr>
              <w:tab/>
            </w:r>
            <w:r>
              <w:rPr>
                <w:noProof/>
                <w:webHidden/>
              </w:rPr>
              <w:fldChar w:fldCharType="begin"/>
            </w:r>
            <w:r>
              <w:rPr>
                <w:noProof/>
                <w:webHidden/>
              </w:rPr>
              <w:instrText xml:space="preserve"> PAGEREF _Toc242407960 \h </w:instrText>
            </w:r>
            <w:r>
              <w:rPr>
                <w:noProof/>
                <w:webHidden/>
              </w:rPr>
            </w:r>
            <w:r>
              <w:rPr>
                <w:noProof/>
                <w:webHidden/>
              </w:rPr>
              <w:fldChar w:fldCharType="separate"/>
            </w:r>
            <w:r>
              <w:rPr>
                <w:noProof/>
                <w:webHidden/>
              </w:rPr>
              <w:t>68</w:t>
            </w:r>
            <w:r>
              <w:rPr>
                <w:noProof/>
                <w:webHidden/>
              </w:rPr>
              <w:fldChar w:fldCharType="end"/>
            </w:r>
          </w:hyperlink>
        </w:p>
        <w:p w14:paraId="16C84BB1" w14:textId="5CB1AE5C" w:rsidR="009D346F" w:rsidRDefault="009D346F">
          <w:pPr>
            <w:pStyle w:val="TOC1"/>
            <w:tabs>
              <w:tab w:val="right" w:leader="dot" w:pos="9016"/>
            </w:tabs>
            <w:rPr>
              <w:rFonts w:eastAsiaTheme="minorEastAsia" w:cstheme="minorBidi"/>
              <w:b w:val="0"/>
              <w:bCs w:val="0"/>
              <w:caps w:val="0"/>
              <w:noProof/>
              <w:kern w:val="2"/>
              <w:sz w:val="24"/>
              <w:szCs w:val="24"/>
              <w14:ligatures w14:val="standardContextual"/>
            </w:rPr>
          </w:pPr>
          <w:hyperlink w:anchor="_Toc242407961" w:history="1">
            <w:r w:rsidRPr="00BD0C37">
              <w:rPr>
                <w:rStyle w:val="Hyperlink"/>
                <w:noProof/>
              </w:rPr>
              <w:t>References</w:t>
            </w:r>
            <w:r>
              <w:rPr>
                <w:noProof/>
                <w:webHidden/>
              </w:rPr>
              <w:tab/>
            </w:r>
            <w:r>
              <w:rPr>
                <w:noProof/>
                <w:webHidden/>
              </w:rPr>
              <w:fldChar w:fldCharType="begin"/>
            </w:r>
            <w:r>
              <w:rPr>
                <w:noProof/>
                <w:webHidden/>
              </w:rPr>
              <w:instrText xml:space="preserve"> PAGEREF _Toc242407961 \h </w:instrText>
            </w:r>
            <w:r>
              <w:rPr>
                <w:noProof/>
                <w:webHidden/>
              </w:rPr>
            </w:r>
            <w:r>
              <w:rPr>
                <w:noProof/>
                <w:webHidden/>
              </w:rPr>
              <w:fldChar w:fldCharType="separate"/>
            </w:r>
            <w:r>
              <w:rPr>
                <w:noProof/>
                <w:webHidden/>
              </w:rPr>
              <w:t>70</w:t>
            </w:r>
            <w:r>
              <w:rPr>
                <w:noProof/>
                <w:webHidden/>
              </w:rPr>
              <w:fldChar w:fldCharType="end"/>
            </w:r>
          </w:hyperlink>
        </w:p>
        <w:p w14:paraId="5ADDC8BF" w14:textId="1D0C8930" w:rsidR="00FC6635" w:rsidRPr="00374D49" w:rsidRDefault="00FC6635" w:rsidP="00E273B5">
          <w:pPr>
            <w:rPr>
              <w:rFonts w:cs="Times New Roman"/>
            </w:rPr>
          </w:pPr>
          <w:r>
            <w:rPr>
              <w:rFonts w:cs="Times New Roman"/>
              <w:b/>
              <w:bCs/>
              <w:noProof/>
              <w:color w:val="000000" w:themeColor="text1"/>
            </w:rPr>
            <w:fldChar w:fldCharType="end"/>
          </w:r>
        </w:p>
      </w:sdtContent>
    </w:sdt>
    <w:p w14:paraId="1044EFED" w14:textId="77777777" w:rsidR="00311456" w:rsidRPr="00374D49" w:rsidRDefault="00311456" w:rsidP="00311456">
      <w:pPr>
        <w:rPr>
          <w:rFonts w:cs="Times New Roman"/>
          <w:u w:val="single"/>
        </w:rPr>
      </w:pPr>
    </w:p>
    <w:p w14:paraId="22ADB52F" w14:textId="77777777" w:rsidR="00311456" w:rsidRPr="00374D49" w:rsidRDefault="00311456">
      <w:pPr>
        <w:rPr>
          <w:rFonts w:eastAsiaTheme="majorEastAsia" w:cs="Times New Roman"/>
          <w:b/>
          <w:color w:val="000000" w:themeColor="text1"/>
          <w:sz w:val="32"/>
          <w:szCs w:val="24"/>
        </w:rPr>
      </w:pPr>
      <w:r>
        <w:rPr>
          <w:rFonts w:cs="Times New Roman"/>
        </w:rPr>
        <w:br w:type="page"/>
      </w:r>
    </w:p>
    <w:p w14:paraId="667A13E1" w14:textId="51B205A7" w:rsidR="00311456" w:rsidRPr="00374D49" w:rsidRDefault="00A96232" w:rsidP="00311456">
      <w:pPr>
        <w:rPr>
          <w:rFonts w:cs="Times New Roman"/>
          <w:b/>
          <w:bCs/>
        </w:rPr>
      </w:pPr>
      <w:r>
        <w:rPr>
          <w:rFonts w:cs="Times New Roman"/>
          <w:b/>
          <w:bCs/>
        </w:rPr>
        <w:lastRenderedPageBreak/>
        <w:t>List of Tables</w:t>
      </w:r>
    </w:p>
    <w:p w14:paraId="624D8051" w14:textId="03E51D20" w:rsidR="009D346F"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T \h \z \t "My Tables" \c </w:instrText>
      </w:r>
      <w:r>
        <w:rPr>
          <w:rFonts w:ascii="Times New Roman" w:hAnsi="Times New Roman" w:cs="Times New Roman"/>
        </w:rPr>
        <w:fldChar w:fldCharType="separate"/>
      </w:r>
      <w:hyperlink w:anchor="_Toc242407962" w:history="1">
        <w:r w:rsidR="009D346F" w:rsidRPr="00D14BE3">
          <w:rPr>
            <w:rStyle w:val="Hyperlink"/>
            <w:noProof/>
          </w:rPr>
          <w:t>Table 1: Modeling Domains and Research Questions</w:t>
        </w:r>
        <w:r w:rsidR="009D346F">
          <w:rPr>
            <w:noProof/>
            <w:webHidden/>
          </w:rPr>
          <w:tab/>
        </w:r>
        <w:r w:rsidR="009D346F">
          <w:rPr>
            <w:noProof/>
            <w:webHidden/>
          </w:rPr>
          <w:fldChar w:fldCharType="begin"/>
        </w:r>
        <w:r w:rsidR="009D346F">
          <w:rPr>
            <w:noProof/>
            <w:webHidden/>
          </w:rPr>
          <w:instrText xml:space="preserve"> PAGEREF _Toc242407962 \h </w:instrText>
        </w:r>
        <w:r w:rsidR="009D346F">
          <w:rPr>
            <w:noProof/>
            <w:webHidden/>
          </w:rPr>
        </w:r>
        <w:r w:rsidR="009D346F">
          <w:rPr>
            <w:noProof/>
            <w:webHidden/>
          </w:rPr>
          <w:fldChar w:fldCharType="separate"/>
        </w:r>
        <w:r w:rsidR="009D346F">
          <w:rPr>
            <w:noProof/>
            <w:webHidden/>
          </w:rPr>
          <w:t>16</w:t>
        </w:r>
        <w:r w:rsidR="009D346F">
          <w:rPr>
            <w:noProof/>
            <w:webHidden/>
          </w:rPr>
          <w:fldChar w:fldCharType="end"/>
        </w:r>
      </w:hyperlink>
    </w:p>
    <w:p w14:paraId="5240A115" w14:textId="5F3F99E3"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3" w:history="1">
        <w:r w:rsidRPr="00D14BE3">
          <w:rPr>
            <w:rStyle w:val="Hyperlink"/>
            <w:noProof/>
          </w:rPr>
          <w:t>Table 2. Principal Datasets Mapped to the Domains They Feed</w:t>
        </w:r>
        <w:r>
          <w:rPr>
            <w:noProof/>
            <w:webHidden/>
          </w:rPr>
          <w:tab/>
        </w:r>
        <w:r>
          <w:rPr>
            <w:noProof/>
            <w:webHidden/>
          </w:rPr>
          <w:fldChar w:fldCharType="begin"/>
        </w:r>
        <w:r>
          <w:rPr>
            <w:noProof/>
            <w:webHidden/>
          </w:rPr>
          <w:instrText xml:space="preserve"> PAGEREF _Toc242407963 \h </w:instrText>
        </w:r>
        <w:r>
          <w:rPr>
            <w:noProof/>
            <w:webHidden/>
          </w:rPr>
        </w:r>
        <w:r>
          <w:rPr>
            <w:noProof/>
            <w:webHidden/>
          </w:rPr>
          <w:fldChar w:fldCharType="separate"/>
        </w:r>
        <w:r>
          <w:rPr>
            <w:noProof/>
            <w:webHidden/>
          </w:rPr>
          <w:t>17</w:t>
        </w:r>
        <w:r>
          <w:rPr>
            <w:noProof/>
            <w:webHidden/>
          </w:rPr>
          <w:fldChar w:fldCharType="end"/>
        </w:r>
      </w:hyperlink>
    </w:p>
    <w:p w14:paraId="14707906" w14:textId="5541DA22"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4" w:history="1">
        <w:r w:rsidRPr="00D14BE3">
          <w:rPr>
            <w:rStyle w:val="Hyperlink"/>
            <w:noProof/>
          </w:rPr>
          <w:t>Table 3. Analytical method by Domain</w:t>
        </w:r>
        <w:r>
          <w:rPr>
            <w:noProof/>
            <w:webHidden/>
          </w:rPr>
          <w:tab/>
        </w:r>
        <w:r>
          <w:rPr>
            <w:noProof/>
            <w:webHidden/>
          </w:rPr>
          <w:fldChar w:fldCharType="begin"/>
        </w:r>
        <w:r>
          <w:rPr>
            <w:noProof/>
            <w:webHidden/>
          </w:rPr>
          <w:instrText xml:space="preserve"> PAGEREF _Toc242407964 \h </w:instrText>
        </w:r>
        <w:r>
          <w:rPr>
            <w:noProof/>
            <w:webHidden/>
          </w:rPr>
        </w:r>
        <w:r>
          <w:rPr>
            <w:noProof/>
            <w:webHidden/>
          </w:rPr>
          <w:fldChar w:fldCharType="separate"/>
        </w:r>
        <w:r>
          <w:rPr>
            <w:noProof/>
            <w:webHidden/>
          </w:rPr>
          <w:t>18</w:t>
        </w:r>
        <w:r>
          <w:rPr>
            <w:noProof/>
            <w:webHidden/>
          </w:rPr>
          <w:fldChar w:fldCharType="end"/>
        </w:r>
      </w:hyperlink>
    </w:p>
    <w:p w14:paraId="39DF9F37" w14:textId="52D17371"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5" w:history="1">
        <w:r w:rsidRPr="00D14BE3">
          <w:rPr>
            <w:rStyle w:val="Hyperlink"/>
            <w:noProof/>
          </w:rPr>
          <w:t>Table 3b. Local government areas covered by the Domain 5 estimates, by zone.</w:t>
        </w:r>
        <w:r>
          <w:rPr>
            <w:noProof/>
            <w:webHidden/>
          </w:rPr>
          <w:tab/>
        </w:r>
        <w:r>
          <w:rPr>
            <w:noProof/>
            <w:webHidden/>
          </w:rPr>
          <w:fldChar w:fldCharType="begin"/>
        </w:r>
        <w:r>
          <w:rPr>
            <w:noProof/>
            <w:webHidden/>
          </w:rPr>
          <w:instrText xml:space="preserve"> PAGEREF _Toc242407965 \h </w:instrText>
        </w:r>
        <w:r>
          <w:rPr>
            <w:noProof/>
            <w:webHidden/>
          </w:rPr>
        </w:r>
        <w:r>
          <w:rPr>
            <w:noProof/>
            <w:webHidden/>
          </w:rPr>
          <w:fldChar w:fldCharType="separate"/>
        </w:r>
        <w:r>
          <w:rPr>
            <w:noProof/>
            <w:webHidden/>
          </w:rPr>
          <w:t>19</w:t>
        </w:r>
        <w:r>
          <w:rPr>
            <w:noProof/>
            <w:webHidden/>
          </w:rPr>
          <w:fldChar w:fldCharType="end"/>
        </w:r>
      </w:hyperlink>
    </w:p>
    <w:p w14:paraId="52EBD81F" w14:textId="567B0A7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6" w:history="1">
        <w:r w:rsidRPr="00D14BE3">
          <w:rPr>
            <w:rStyle w:val="Hyperlink"/>
            <w:noProof/>
          </w:rPr>
          <w:t>Table 4. Model comparison for equity stratification.</w:t>
        </w:r>
        <w:r>
          <w:rPr>
            <w:noProof/>
            <w:webHidden/>
          </w:rPr>
          <w:tab/>
        </w:r>
        <w:r>
          <w:rPr>
            <w:noProof/>
            <w:webHidden/>
          </w:rPr>
          <w:fldChar w:fldCharType="begin"/>
        </w:r>
        <w:r>
          <w:rPr>
            <w:noProof/>
            <w:webHidden/>
          </w:rPr>
          <w:instrText xml:space="preserve"> PAGEREF _Toc242407966 \h </w:instrText>
        </w:r>
        <w:r>
          <w:rPr>
            <w:noProof/>
            <w:webHidden/>
          </w:rPr>
        </w:r>
        <w:r>
          <w:rPr>
            <w:noProof/>
            <w:webHidden/>
          </w:rPr>
          <w:fldChar w:fldCharType="separate"/>
        </w:r>
        <w:r>
          <w:rPr>
            <w:noProof/>
            <w:webHidden/>
          </w:rPr>
          <w:t>26</w:t>
        </w:r>
        <w:r>
          <w:rPr>
            <w:noProof/>
            <w:webHidden/>
          </w:rPr>
          <w:fldChar w:fldCharType="end"/>
        </w:r>
      </w:hyperlink>
    </w:p>
    <w:p w14:paraId="3CCF009E" w14:textId="298462F6"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7" w:history="1">
        <w:r w:rsidRPr="00D14BE3">
          <w:rPr>
            <w:rStyle w:val="Hyperlink"/>
            <w:noProof/>
          </w:rPr>
          <w:t>Table 5. The nine highest-burden states by estimated zero-dose children in 2026 (extract of the full 37-state Bayesian forecast).</w:t>
        </w:r>
        <w:r>
          <w:rPr>
            <w:noProof/>
            <w:webHidden/>
          </w:rPr>
          <w:tab/>
        </w:r>
        <w:r>
          <w:rPr>
            <w:noProof/>
            <w:webHidden/>
          </w:rPr>
          <w:fldChar w:fldCharType="begin"/>
        </w:r>
        <w:r>
          <w:rPr>
            <w:noProof/>
            <w:webHidden/>
          </w:rPr>
          <w:instrText xml:space="preserve"> PAGEREF _Toc242407967 \h </w:instrText>
        </w:r>
        <w:r>
          <w:rPr>
            <w:noProof/>
            <w:webHidden/>
          </w:rPr>
        </w:r>
        <w:r>
          <w:rPr>
            <w:noProof/>
            <w:webHidden/>
          </w:rPr>
          <w:fldChar w:fldCharType="separate"/>
        </w:r>
        <w:r>
          <w:rPr>
            <w:noProof/>
            <w:webHidden/>
          </w:rPr>
          <w:t>29</w:t>
        </w:r>
        <w:r>
          <w:rPr>
            <w:noProof/>
            <w:webHidden/>
          </w:rPr>
          <w:fldChar w:fldCharType="end"/>
        </w:r>
      </w:hyperlink>
    </w:p>
    <w:p w14:paraId="6C5781B1" w14:textId="50E6CC6F"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8" w:history="1">
        <w:r w:rsidRPr="00D14BE3">
          <w:rPr>
            <w:rStyle w:val="Hyperlink"/>
            <w:noProof/>
          </w:rPr>
          <w:t>Table 6. The five LGA-level community archetypes, their signatures and matched intervention packages.</w:t>
        </w:r>
        <w:r>
          <w:rPr>
            <w:noProof/>
            <w:webHidden/>
          </w:rPr>
          <w:tab/>
        </w:r>
        <w:r>
          <w:rPr>
            <w:noProof/>
            <w:webHidden/>
          </w:rPr>
          <w:fldChar w:fldCharType="begin"/>
        </w:r>
        <w:r>
          <w:rPr>
            <w:noProof/>
            <w:webHidden/>
          </w:rPr>
          <w:instrText xml:space="preserve"> PAGEREF _Toc242407968 \h </w:instrText>
        </w:r>
        <w:r>
          <w:rPr>
            <w:noProof/>
            <w:webHidden/>
          </w:rPr>
        </w:r>
        <w:r>
          <w:rPr>
            <w:noProof/>
            <w:webHidden/>
          </w:rPr>
          <w:fldChar w:fldCharType="separate"/>
        </w:r>
        <w:r>
          <w:rPr>
            <w:noProof/>
            <w:webHidden/>
          </w:rPr>
          <w:t>33</w:t>
        </w:r>
        <w:r>
          <w:rPr>
            <w:noProof/>
            <w:webHidden/>
          </w:rPr>
          <w:fldChar w:fldCharType="end"/>
        </w:r>
      </w:hyperlink>
    </w:p>
    <w:p w14:paraId="74174A66" w14:textId="7384AF1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69" w:history="1">
        <w:r w:rsidRPr="00D14BE3">
          <w:rPr>
            <w:rStyle w:val="Hyperlink"/>
            <w:noProof/>
          </w:rPr>
          <w:t>Table 6b. The ten highest-burden LGAs by modelled zero-dose children, 2026 (Method 1).</w:t>
        </w:r>
        <w:r>
          <w:rPr>
            <w:noProof/>
            <w:webHidden/>
          </w:rPr>
          <w:tab/>
        </w:r>
        <w:r>
          <w:rPr>
            <w:noProof/>
            <w:webHidden/>
          </w:rPr>
          <w:fldChar w:fldCharType="begin"/>
        </w:r>
        <w:r>
          <w:rPr>
            <w:noProof/>
            <w:webHidden/>
          </w:rPr>
          <w:instrText xml:space="preserve"> PAGEREF _Toc242407969 \h </w:instrText>
        </w:r>
        <w:r>
          <w:rPr>
            <w:noProof/>
            <w:webHidden/>
          </w:rPr>
        </w:r>
        <w:r>
          <w:rPr>
            <w:noProof/>
            <w:webHidden/>
          </w:rPr>
          <w:fldChar w:fldCharType="separate"/>
        </w:r>
        <w:r>
          <w:rPr>
            <w:noProof/>
            <w:webHidden/>
          </w:rPr>
          <w:t>34</w:t>
        </w:r>
        <w:r>
          <w:rPr>
            <w:noProof/>
            <w:webHidden/>
          </w:rPr>
          <w:fldChar w:fldCharType="end"/>
        </w:r>
      </w:hyperlink>
    </w:p>
    <w:p w14:paraId="3C8E28DC" w14:textId="324A1DB2"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0" w:history="1">
        <w:r w:rsidRPr="00D14BE3">
          <w:rPr>
            <w:rStyle w:val="Hyperlink"/>
            <w:noProof/>
          </w:rPr>
          <w:t>Table 6c. The RMNCH–EPI operational list: maternal-care indicators and the matched package, by archetype.</w:t>
        </w:r>
        <w:r>
          <w:rPr>
            <w:noProof/>
            <w:webHidden/>
          </w:rPr>
          <w:tab/>
        </w:r>
        <w:r>
          <w:rPr>
            <w:noProof/>
            <w:webHidden/>
          </w:rPr>
          <w:fldChar w:fldCharType="begin"/>
        </w:r>
        <w:r>
          <w:rPr>
            <w:noProof/>
            <w:webHidden/>
          </w:rPr>
          <w:instrText xml:space="preserve"> PAGEREF _Toc242407970 \h </w:instrText>
        </w:r>
        <w:r>
          <w:rPr>
            <w:noProof/>
            <w:webHidden/>
          </w:rPr>
        </w:r>
        <w:r>
          <w:rPr>
            <w:noProof/>
            <w:webHidden/>
          </w:rPr>
          <w:fldChar w:fldCharType="separate"/>
        </w:r>
        <w:r>
          <w:rPr>
            <w:noProof/>
            <w:webHidden/>
          </w:rPr>
          <w:t>36</w:t>
        </w:r>
        <w:r>
          <w:rPr>
            <w:noProof/>
            <w:webHidden/>
          </w:rPr>
          <w:fldChar w:fldCharType="end"/>
        </w:r>
      </w:hyperlink>
    </w:p>
    <w:p w14:paraId="34C258DD" w14:textId="2C334276"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1" w:history="1">
        <w:r w:rsidRPr="00D14BE3">
          <w:rPr>
            <w:rStyle w:val="Hyperlink"/>
            <w:noProof/>
          </w:rPr>
          <w:t>Table 6d. The ten highest-burden LGAs under Method 2, 2026.</w:t>
        </w:r>
        <w:r>
          <w:rPr>
            <w:noProof/>
            <w:webHidden/>
          </w:rPr>
          <w:tab/>
        </w:r>
        <w:r>
          <w:rPr>
            <w:noProof/>
            <w:webHidden/>
          </w:rPr>
          <w:fldChar w:fldCharType="begin"/>
        </w:r>
        <w:r>
          <w:rPr>
            <w:noProof/>
            <w:webHidden/>
          </w:rPr>
          <w:instrText xml:space="preserve"> PAGEREF _Toc242407971 \h </w:instrText>
        </w:r>
        <w:r>
          <w:rPr>
            <w:noProof/>
            <w:webHidden/>
          </w:rPr>
        </w:r>
        <w:r>
          <w:rPr>
            <w:noProof/>
            <w:webHidden/>
          </w:rPr>
          <w:fldChar w:fldCharType="separate"/>
        </w:r>
        <w:r>
          <w:rPr>
            <w:noProof/>
            <w:webHidden/>
          </w:rPr>
          <w:t>38</w:t>
        </w:r>
        <w:r>
          <w:rPr>
            <w:noProof/>
            <w:webHidden/>
          </w:rPr>
          <w:fldChar w:fldCharType="end"/>
        </w:r>
      </w:hyperlink>
    </w:p>
    <w:p w14:paraId="1ED7E111" w14:textId="43F5B321"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2" w:history="1">
        <w:r w:rsidRPr="00D14BE3">
          <w:rPr>
            <w:rStyle w:val="Hyperlink"/>
            <w:noProof/>
          </w:rPr>
          <w:t>Table 6e. Modelled zero-dose children in 2026 by zone, Method 1 and Method 2.</w:t>
        </w:r>
        <w:r>
          <w:rPr>
            <w:noProof/>
            <w:webHidden/>
          </w:rPr>
          <w:tab/>
        </w:r>
        <w:r>
          <w:rPr>
            <w:noProof/>
            <w:webHidden/>
          </w:rPr>
          <w:fldChar w:fldCharType="begin"/>
        </w:r>
        <w:r>
          <w:rPr>
            <w:noProof/>
            <w:webHidden/>
          </w:rPr>
          <w:instrText xml:space="preserve"> PAGEREF _Toc242407972 \h </w:instrText>
        </w:r>
        <w:r>
          <w:rPr>
            <w:noProof/>
            <w:webHidden/>
          </w:rPr>
        </w:r>
        <w:r>
          <w:rPr>
            <w:noProof/>
            <w:webHidden/>
          </w:rPr>
          <w:fldChar w:fldCharType="separate"/>
        </w:r>
        <w:r>
          <w:rPr>
            <w:noProof/>
            <w:webHidden/>
          </w:rPr>
          <w:t>40</w:t>
        </w:r>
        <w:r>
          <w:rPr>
            <w:noProof/>
            <w:webHidden/>
          </w:rPr>
          <w:fldChar w:fldCharType="end"/>
        </w:r>
      </w:hyperlink>
    </w:p>
    <w:p w14:paraId="5AE2074A" w14:textId="62A502E2"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3" w:history="1">
        <w:r w:rsidRPr="00D14BE3">
          <w:rPr>
            <w:rStyle w:val="Hyperlink"/>
            <w:noProof/>
          </w:rPr>
          <w:t>Table 6f. Modelled zero-dose children in 2026 by state, Method 1 and Method 2.</w:t>
        </w:r>
        <w:r>
          <w:rPr>
            <w:noProof/>
            <w:webHidden/>
          </w:rPr>
          <w:tab/>
        </w:r>
        <w:r>
          <w:rPr>
            <w:noProof/>
            <w:webHidden/>
          </w:rPr>
          <w:fldChar w:fldCharType="begin"/>
        </w:r>
        <w:r>
          <w:rPr>
            <w:noProof/>
            <w:webHidden/>
          </w:rPr>
          <w:instrText xml:space="preserve"> PAGEREF _Toc242407973 \h </w:instrText>
        </w:r>
        <w:r>
          <w:rPr>
            <w:noProof/>
            <w:webHidden/>
          </w:rPr>
        </w:r>
        <w:r>
          <w:rPr>
            <w:noProof/>
            <w:webHidden/>
          </w:rPr>
          <w:fldChar w:fldCharType="separate"/>
        </w:r>
        <w:r>
          <w:rPr>
            <w:noProof/>
            <w:webHidden/>
          </w:rPr>
          <w:t>41</w:t>
        </w:r>
        <w:r>
          <w:rPr>
            <w:noProof/>
            <w:webHidden/>
          </w:rPr>
          <w:fldChar w:fldCharType="end"/>
        </w:r>
      </w:hyperlink>
    </w:p>
    <w:p w14:paraId="2C3E91FA" w14:textId="330AA64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4" w:history="1">
        <w:r w:rsidRPr="00D14BE3">
          <w:rPr>
            <w:rStyle w:val="Hyperlink"/>
            <w:noProof/>
          </w:rPr>
          <w:t>Table 6g. LGAs needed to reach 50%, 60% and 80% of zero-dose children, by method.</w:t>
        </w:r>
        <w:r>
          <w:rPr>
            <w:noProof/>
            <w:webHidden/>
          </w:rPr>
          <w:tab/>
        </w:r>
        <w:r>
          <w:rPr>
            <w:noProof/>
            <w:webHidden/>
          </w:rPr>
          <w:fldChar w:fldCharType="begin"/>
        </w:r>
        <w:r>
          <w:rPr>
            <w:noProof/>
            <w:webHidden/>
          </w:rPr>
          <w:instrText xml:space="preserve"> PAGEREF _Toc242407974 \h </w:instrText>
        </w:r>
        <w:r>
          <w:rPr>
            <w:noProof/>
            <w:webHidden/>
          </w:rPr>
        </w:r>
        <w:r>
          <w:rPr>
            <w:noProof/>
            <w:webHidden/>
          </w:rPr>
          <w:fldChar w:fldCharType="separate"/>
        </w:r>
        <w:r>
          <w:rPr>
            <w:noProof/>
            <w:webHidden/>
          </w:rPr>
          <w:t>42</w:t>
        </w:r>
        <w:r>
          <w:rPr>
            <w:noProof/>
            <w:webHidden/>
          </w:rPr>
          <w:fldChar w:fldCharType="end"/>
        </w:r>
      </w:hyperlink>
    </w:p>
    <w:p w14:paraId="7772F377" w14:textId="514441B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5" w:history="1">
        <w:r w:rsidRPr="00D14BE3">
          <w:rPr>
            <w:rStyle w:val="Hyperlink"/>
            <w:noProof/>
          </w:rPr>
          <w:t>Table 6h. Which estimate to use for which decision.</w:t>
        </w:r>
        <w:r>
          <w:rPr>
            <w:noProof/>
            <w:webHidden/>
          </w:rPr>
          <w:tab/>
        </w:r>
        <w:r>
          <w:rPr>
            <w:noProof/>
            <w:webHidden/>
          </w:rPr>
          <w:fldChar w:fldCharType="begin"/>
        </w:r>
        <w:r>
          <w:rPr>
            <w:noProof/>
            <w:webHidden/>
          </w:rPr>
          <w:instrText xml:space="preserve"> PAGEREF _Toc242407975 \h </w:instrText>
        </w:r>
        <w:r>
          <w:rPr>
            <w:noProof/>
            <w:webHidden/>
          </w:rPr>
        </w:r>
        <w:r>
          <w:rPr>
            <w:noProof/>
            <w:webHidden/>
          </w:rPr>
          <w:fldChar w:fldCharType="separate"/>
        </w:r>
        <w:r>
          <w:rPr>
            <w:noProof/>
            <w:webHidden/>
          </w:rPr>
          <w:t>43</w:t>
        </w:r>
        <w:r>
          <w:rPr>
            <w:noProof/>
            <w:webHidden/>
          </w:rPr>
          <w:fldChar w:fldCharType="end"/>
        </w:r>
      </w:hyperlink>
    </w:p>
    <w:p w14:paraId="0FF31FA8" w14:textId="3D1BB94F"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6" w:history="1">
        <w:r w:rsidRPr="00D14BE3">
          <w:rPr>
            <w:rStyle w:val="Hyperlink"/>
            <w:noProof/>
          </w:rPr>
          <w:t>Table 7. The six highest outbreak-risk states on the composite VPD risk surface.</w:t>
        </w:r>
        <w:r>
          <w:rPr>
            <w:noProof/>
            <w:webHidden/>
          </w:rPr>
          <w:tab/>
        </w:r>
        <w:r>
          <w:rPr>
            <w:noProof/>
            <w:webHidden/>
          </w:rPr>
          <w:fldChar w:fldCharType="begin"/>
        </w:r>
        <w:r>
          <w:rPr>
            <w:noProof/>
            <w:webHidden/>
          </w:rPr>
          <w:instrText xml:space="preserve"> PAGEREF _Toc242407976 \h </w:instrText>
        </w:r>
        <w:r>
          <w:rPr>
            <w:noProof/>
            <w:webHidden/>
          </w:rPr>
        </w:r>
        <w:r>
          <w:rPr>
            <w:noProof/>
            <w:webHidden/>
          </w:rPr>
          <w:fldChar w:fldCharType="separate"/>
        </w:r>
        <w:r>
          <w:rPr>
            <w:noProof/>
            <w:webHidden/>
          </w:rPr>
          <w:t>46</w:t>
        </w:r>
        <w:r>
          <w:rPr>
            <w:noProof/>
            <w:webHidden/>
          </w:rPr>
          <w:fldChar w:fldCharType="end"/>
        </w:r>
      </w:hyperlink>
    </w:p>
    <w:p w14:paraId="7D123A95" w14:textId="136DD50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7" w:history="1">
        <w:r w:rsidRPr="00D14BE3">
          <w:rPr>
            <w:rStyle w:val="Hyperlink"/>
            <w:noProof/>
          </w:rPr>
          <w:t>Table 7b. National comparison and agreement with independent data, both Domain 5 methods.</w:t>
        </w:r>
        <w:r>
          <w:rPr>
            <w:noProof/>
            <w:webHidden/>
          </w:rPr>
          <w:tab/>
        </w:r>
        <w:r>
          <w:rPr>
            <w:noProof/>
            <w:webHidden/>
          </w:rPr>
          <w:fldChar w:fldCharType="begin"/>
        </w:r>
        <w:r>
          <w:rPr>
            <w:noProof/>
            <w:webHidden/>
          </w:rPr>
          <w:instrText xml:space="preserve"> PAGEREF _Toc242407977 \h </w:instrText>
        </w:r>
        <w:r>
          <w:rPr>
            <w:noProof/>
            <w:webHidden/>
          </w:rPr>
        </w:r>
        <w:r>
          <w:rPr>
            <w:noProof/>
            <w:webHidden/>
          </w:rPr>
          <w:fldChar w:fldCharType="separate"/>
        </w:r>
        <w:r>
          <w:rPr>
            <w:noProof/>
            <w:webHidden/>
          </w:rPr>
          <w:t>49</w:t>
        </w:r>
        <w:r>
          <w:rPr>
            <w:noProof/>
            <w:webHidden/>
          </w:rPr>
          <w:fldChar w:fldCharType="end"/>
        </w:r>
      </w:hyperlink>
    </w:p>
    <w:p w14:paraId="3F5E5C11" w14:textId="30F18E43"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8" w:history="1">
        <w:r w:rsidRPr="00D14BE3">
          <w:rPr>
            <w:rStyle w:val="Hyperlink"/>
            <w:noProof/>
          </w:rPr>
          <w:t>Table 8. Baseline Part A readiness scores by administrative unit and section</w:t>
        </w:r>
        <w:r>
          <w:rPr>
            <w:noProof/>
            <w:webHidden/>
          </w:rPr>
          <w:tab/>
        </w:r>
        <w:r>
          <w:rPr>
            <w:noProof/>
            <w:webHidden/>
          </w:rPr>
          <w:fldChar w:fldCharType="begin"/>
        </w:r>
        <w:r>
          <w:rPr>
            <w:noProof/>
            <w:webHidden/>
          </w:rPr>
          <w:instrText xml:space="preserve"> PAGEREF _Toc242407978 \h </w:instrText>
        </w:r>
        <w:r>
          <w:rPr>
            <w:noProof/>
            <w:webHidden/>
          </w:rPr>
        </w:r>
        <w:r>
          <w:rPr>
            <w:noProof/>
            <w:webHidden/>
          </w:rPr>
          <w:fldChar w:fldCharType="separate"/>
        </w:r>
        <w:r>
          <w:rPr>
            <w:noProof/>
            <w:webHidden/>
          </w:rPr>
          <w:t>51</w:t>
        </w:r>
        <w:r>
          <w:rPr>
            <w:noProof/>
            <w:webHidden/>
          </w:rPr>
          <w:fldChar w:fldCharType="end"/>
        </w:r>
      </w:hyperlink>
    </w:p>
    <w:p w14:paraId="21FECE6C" w14:textId="0E73001C"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79" w:history="1">
        <w:r w:rsidRPr="00D14BE3">
          <w:rPr>
            <w:rStyle w:val="Hyperlink"/>
            <w:noProof/>
          </w:rPr>
          <w:t>Table 9. Part A readiness scores by administrative unit and section</w:t>
        </w:r>
        <w:r>
          <w:rPr>
            <w:noProof/>
            <w:webHidden/>
          </w:rPr>
          <w:tab/>
        </w:r>
        <w:r>
          <w:rPr>
            <w:noProof/>
            <w:webHidden/>
          </w:rPr>
          <w:fldChar w:fldCharType="begin"/>
        </w:r>
        <w:r>
          <w:rPr>
            <w:noProof/>
            <w:webHidden/>
          </w:rPr>
          <w:instrText xml:space="preserve"> PAGEREF _Toc242407979 \h </w:instrText>
        </w:r>
        <w:r>
          <w:rPr>
            <w:noProof/>
            <w:webHidden/>
          </w:rPr>
        </w:r>
        <w:r>
          <w:rPr>
            <w:noProof/>
            <w:webHidden/>
          </w:rPr>
          <w:fldChar w:fldCharType="separate"/>
        </w:r>
        <w:r>
          <w:rPr>
            <w:noProof/>
            <w:webHidden/>
          </w:rPr>
          <w:t>53</w:t>
        </w:r>
        <w:r>
          <w:rPr>
            <w:noProof/>
            <w:webHidden/>
          </w:rPr>
          <w:fldChar w:fldCharType="end"/>
        </w:r>
      </w:hyperlink>
    </w:p>
    <w:p w14:paraId="4741BB55" w14:textId="32389B7A"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0" w:history="1">
        <w:r w:rsidRPr="00D14BE3">
          <w:rPr>
            <w:rStyle w:val="Hyperlink"/>
            <w:noProof/>
          </w:rPr>
          <w:t>Table 10. Part B Capacity, Systems, and Infrastructure Assessment Scores by Administrative Unit</w:t>
        </w:r>
        <w:r>
          <w:rPr>
            <w:noProof/>
            <w:webHidden/>
          </w:rPr>
          <w:tab/>
        </w:r>
        <w:r>
          <w:rPr>
            <w:noProof/>
            <w:webHidden/>
          </w:rPr>
          <w:fldChar w:fldCharType="begin"/>
        </w:r>
        <w:r>
          <w:rPr>
            <w:noProof/>
            <w:webHidden/>
          </w:rPr>
          <w:instrText xml:space="preserve"> PAGEREF _Toc242407980 \h </w:instrText>
        </w:r>
        <w:r>
          <w:rPr>
            <w:noProof/>
            <w:webHidden/>
          </w:rPr>
        </w:r>
        <w:r>
          <w:rPr>
            <w:noProof/>
            <w:webHidden/>
          </w:rPr>
          <w:fldChar w:fldCharType="separate"/>
        </w:r>
        <w:r>
          <w:rPr>
            <w:noProof/>
            <w:webHidden/>
          </w:rPr>
          <w:t>54</w:t>
        </w:r>
        <w:r>
          <w:rPr>
            <w:noProof/>
            <w:webHidden/>
          </w:rPr>
          <w:fldChar w:fldCharType="end"/>
        </w:r>
      </w:hyperlink>
    </w:p>
    <w:p w14:paraId="3FBC8B43" w14:textId="70EA939A"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1" w:history="1">
        <w:r w:rsidRPr="00D14BE3">
          <w:rPr>
            <w:rStyle w:val="Hyperlink"/>
            <w:noProof/>
          </w:rPr>
          <w:t>Table 11. Overall Capacity, Systems Readiness, And Estimated Time to Modelling Readiness by Unit.</w:t>
        </w:r>
        <w:r>
          <w:rPr>
            <w:noProof/>
            <w:webHidden/>
          </w:rPr>
          <w:tab/>
        </w:r>
        <w:r>
          <w:rPr>
            <w:noProof/>
            <w:webHidden/>
          </w:rPr>
          <w:fldChar w:fldCharType="begin"/>
        </w:r>
        <w:r>
          <w:rPr>
            <w:noProof/>
            <w:webHidden/>
          </w:rPr>
          <w:instrText xml:space="preserve"> PAGEREF _Toc242407981 \h </w:instrText>
        </w:r>
        <w:r>
          <w:rPr>
            <w:noProof/>
            <w:webHidden/>
          </w:rPr>
        </w:r>
        <w:r>
          <w:rPr>
            <w:noProof/>
            <w:webHidden/>
          </w:rPr>
          <w:fldChar w:fldCharType="separate"/>
        </w:r>
        <w:r>
          <w:rPr>
            <w:noProof/>
            <w:webHidden/>
          </w:rPr>
          <w:t>55</w:t>
        </w:r>
        <w:r>
          <w:rPr>
            <w:noProof/>
            <w:webHidden/>
          </w:rPr>
          <w:fldChar w:fldCharType="end"/>
        </w:r>
      </w:hyperlink>
    </w:p>
    <w:p w14:paraId="3F376BF2" w14:textId="51E0A05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2" w:history="1">
        <w:r w:rsidRPr="00D14BE3">
          <w:rPr>
            <w:rStyle w:val="Hyperlink"/>
            <w:noProof/>
          </w:rPr>
          <w:t>Table 12. State-By-State Summary of Qualitative Findings Against the Recurring Themes</w:t>
        </w:r>
        <w:r>
          <w:rPr>
            <w:noProof/>
            <w:webHidden/>
          </w:rPr>
          <w:tab/>
        </w:r>
        <w:r>
          <w:rPr>
            <w:noProof/>
            <w:webHidden/>
          </w:rPr>
          <w:fldChar w:fldCharType="begin"/>
        </w:r>
        <w:r>
          <w:rPr>
            <w:noProof/>
            <w:webHidden/>
          </w:rPr>
          <w:instrText xml:space="preserve"> PAGEREF _Toc242407982 \h </w:instrText>
        </w:r>
        <w:r>
          <w:rPr>
            <w:noProof/>
            <w:webHidden/>
          </w:rPr>
        </w:r>
        <w:r>
          <w:rPr>
            <w:noProof/>
            <w:webHidden/>
          </w:rPr>
          <w:fldChar w:fldCharType="separate"/>
        </w:r>
        <w:r>
          <w:rPr>
            <w:noProof/>
            <w:webHidden/>
          </w:rPr>
          <w:t>59</w:t>
        </w:r>
        <w:r>
          <w:rPr>
            <w:noProof/>
            <w:webHidden/>
          </w:rPr>
          <w:fldChar w:fldCharType="end"/>
        </w:r>
      </w:hyperlink>
    </w:p>
    <w:p w14:paraId="6728FC69" w14:textId="4C34FE40" w:rsidR="00A96232" w:rsidRPr="00374D49" w:rsidRDefault="00A96232" w:rsidP="00311456">
      <w:pPr>
        <w:rPr>
          <w:rFonts w:cs="Times New Roman"/>
        </w:rPr>
      </w:pPr>
      <w:r>
        <w:rPr>
          <w:rFonts w:cs="Times New Roman"/>
        </w:rPr>
        <w:fldChar w:fldCharType="end"/>
      </w:r>
    </w:p>
    <w:p w14:paraId="32CAA323" w14:textId="0C023D51" w:rsidR="00311456" w:rsidRPr="00374D49" w:rsidRDefault="00A96232" w:rsidP="00311456">
      <w:pPr>
        <w:rPr>
          <w:rFonts w:cs="Times New Roman"/>
          <w:b/>
          <w:bCs/>
        </w:rPr>
      </w:pPr>
      <w:r>
        <w:rPr>
          <w:rFonts w:cs="Times New Roman"/>
          <w:b/>
          <w:bCs/>
        </w:rPr>
        <w:t>List of Figures</w:t>
      </w:r>
    </w:p>
    <w:p w14:paraId="0029EC20" w14:textId="76423AC4" w:rsidR="009D346F" w:rsidRDefault="00A96232">
      <w:pPr>
        <w:pStyle w:val="TableofFigures"/>
        <w:tabs>
          <w:tab w:val="right" w:leader="dot" w:pos="9016"/>
        </w:tabs>
        <w:rPr>
          <w:rFonts w:eastAsiaTheme="minorEastAsia" w:cstheme="minorBidi"/>
          <w:smallCaps w:val="0"/>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\f F \h \z \t "My Figures" \c </w:instrText>
      </w:r>
      <w:r>
        <w:rPr>
          <w:rFonts w:ascii="Times New Roman" w:hAnsi="Times New Roman" w:cs="Times New Roman"/>
        </w:rPr>
        <w:fldChar w:fldCharType="separate"/>
      </w:r>
      <w:hyperlink w:anchor="_Toc242407983" w:history="1">
        <w:r w:rsidR="009D346F" w:rsidRPr="006872AE">
          <w:rPr>
            <w:rStyle w:val="Hyperlink"/>
            <w:noProof/>
          </w:rPr>
          <w:t>Figure 1a. National tracer-antigen doses as a percent of their 2024 level, with Prophet forecasts and 95% prediction intervals.</w:t>
        </w:r>
        <w:r w:rsidR="009D346F">
          <w:rPr>
            <w:noProof/>
            <w:webHidden/>
          </w:rPr>
          <w:tab/>
        </w:r>
        <w:r w:rsidR="009D346F">
          <w:rPr>
            <w:noProof/>
            <w:webHidden/>
          </w:rPr>
          <w:fldChar w:fldCharType="begin"/>
        </w:r>
        <w:r w:rsidR="009D346F">
          <w:rPr>
            <w:noProof/>
            <w:webHidden/>
          </w:rPr>
          <w:instrText xml:space="preserve"> PAGEREF _Toc242407983 \h </w:instrText>
        </w:r>
        <w:r w:rsidR="009D346F">
          <w:rPr>
            <w:noProof/>
            <w:webHidden/>
          </w:rPr>
        </w:r>
        <w:r w:rsidR="009D346F">
          <w:rPr>
            <w:noProof/>
            <w:webHidden/>
          </w:rPr>
          <w:fldChar w:fldCharType="separate"/>
        </w:r>
        <w:r w:rsidR="009D346F">
          <w:rPr>
            <w:noProof/>
            <w:webHidden/>
          </w:rPr>
          <w:t>20</w:t>
        </w:r>
        <w:r w:rsidR="009D346F">
          <w:rPr>
            <w:noProof/>
            <w:webHidden/>
          </w:rPr>
          <w:fldChar w:fldCharType="end"/>
        </w:r>
      </w:hyperlink>
    </w:p>
    <w:p w14:paraId="63543F85" w14:textId="44CBFE3A"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4" w:history="1">
        <w:r w:rsidRPr="006872AE">
          <w:rPr>
            <w:rStyle w:val="Hyperlink"/>
            <w:noProof/>
          </w:rPr>
          <w:t>Figure 1b. 2026 administrative coverage of the eligible cohort against NDHS 2024 survey coverage.</w:t>
        </w:r>
        <w:r>
          <w:rPr>
            <w:noProof/>
            <w:webHidden/>
          </w:rPr>
          <w:tab/>
        </w:r>
        <w:r>
          <w:rPr>
            <w:noProof/>
            <w:webHidden/>
          </w:rPr>
          <w:fldChar w:fldCharType="begin"/>
        </w:r>
        <w:r>
          <w:rPr>
            <w:noProof/>
            <w:webHidden/>
          </w:rPr>
          <w:instrText xml:space="preserve"> PAGEREF _Toc242407984 \h </w:instrText>
        </w:r>
        <w:r>
          <w:rPr>
            <w:noProof/>
            <w:webHidden/>
          </w:rPr>
        </w:r>
        <w:r>
          <w:rPr>
            <w:noProof/>
            <w:webHidden/>
          </w:rPr>
          <w:fldChar w:fldCharType="separate"/>
        </w:r>
        <w:r>
          <w:rPr>
            <w:noProof/>
            <w:webHidden/>
          </w:rPr>
          <w:t>20</w:t>
        </w:r>
        <w:r>
          <w:rPr>
            <w:noProof/>
            <w:webHidden/>
          </w:rPr>
          <w:fldChar w:fldCharType="end"/>
        </w:r>
      </w:hyperlink>
    </w:p>
    <w:p w14:paraId="3215BE7D" w14:textId="43608123"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5" w:history="1">
        <w:r w:rsidRPr="006872AE">
          <w:rPr>
            <w:rStyle w:val="Hyperlink"/>
            <w:noProof/>
          </w:rPr>
          <w:t>Figure 1c. Number of the four tracer antigens with an early-warning flag, by LGA.</w:t>
        </w:r>
        <w:r>
          <w:rPr>
            <w:noProof/>
            <w:webHidden/>
          </w:rPr>
          <w:tab/>
        </w:r>
        <w:r>
          <w:rPr>
            <w:noProof/>
            <w:webHidden/>
          </w:rPr>
          <w:fldChar w:fldCharType="begin"/>
        </w:r>
        <w:r>
          <w:rPr>
            <w:noProof/>
            <w:webHidden/>
          </w:rPr>
          <w:instrText xml:space="preserve"> PAGEREF _Toc242407985 \h </w:instrText>
        </w:r>
        <w:r>
          <w:rPr>
            <w:noProof/>
            <w:webHidden/>
          </w:rPr>
        </w:r>
        <w:r>
          <w:rPr>
            <w:noProof/>
            <w:webHidden/>
          </w:rPr>
          <w:fldChar w:fldCharType="separate"/>
        </w:r>
        <w:r>
          <w:rPr>
            <w:noProof/>
            <w:webHidden/>
          </w:rPr>
          <w:t>21</w:t>
        </w:r>
        <w:r>
          <w:rPr>
            <w:noProof/>
            <w:webHidden/>
          </w:rPr>
          <w:fldChar w:fldCharType="end"/>
        </w:r>
      </w:hyperlink>
    </w:p>
    <w:p w14:paraId="07399C3A" w14:textId="06E7E782"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6" w:history="1">
        <w:r w:rsidRPr="006872AE">
          <w:rPr>
            <w:rStyle w:val="Hyperlink"/>
            <w:noProof/>
          </w:rPr>
          <w:t>Figure 1d. LGA early-warning flags by antigen: severity, states with the most flagged LGAs, and illustrative LGAs.</w:t>
        </w:r>
        <w:r>
          <w:rPr>
            <w:noProof/>
            <w:webHidden/>
          </w:rPr>
          <w:tab/>
        </w:r>
        <w:r>
          <w:rPr>
            <w:noProof/>
            <w:webHidden/>
          </w:rPr>
          <w:fldChar w:fldCharType="begin"/>
        </w:r>
        <w:r>
          <w:rPr>
            <w:noProof/>
            <w:webHidden/>
          </w:rPr>
          <w:instrText xml:space="preserve"> PAGEREF _Toc242407986 \h </w:instrText>
        </w:r>
        <w:r>
          <w:rPr>
            <w:noProof/>
            <w:webHidden/>
          </w:rPr>
        </w:r>
        <w:r>
          <w:rPr>
            <w:noProof/>
            <w:webHidden/>
          </w:rPr>
          <w:fldChar w:fldCharType="separate"/>
        </w:r>
        <w:r>
          <w:rPr>
            <w:noProof/>
            <w:webHidden/>
          </w:rPr>
          <w:t>22</w:t>
        </w:r>
        <w:r>
          <w:rPr>
            <w:noProof/>
            <w:webHidden/>
          </w:rPr>
          <w:fldChar w:fldCharType="end"/>
        </w:r>
      </w:hyperlink>
    </w:p>
    <w:p w14:paraId="482B163E" w14:textId="39AA64C7"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7" w:history="1">
        <w:r w:rsidRPr="006872AE">
          <w:rPr>
            <w:rStyle w:val="Hyperlink"/>
            <w:noProof/>
          </w:rPr>
          <w:t>Figure 1e. Forecast trajectories for the nine additional antigens against the 80% at-risk-of-decline mark (Prophet, DHIS2 2021-2025, projected to 2028).</w:t>
        </w:r>
        <w:r>
          <w:rPr>
            <w:noProof/>
            <w:webHidden/>
          </w:rPr>
          <w:tab/>
        </w:r>
        <w:r>
          <w:rPr>
            <w:noProof/>
            <w:webHidden/>
          </w:rPr>
          <w:fldChar w:fldCharType="begin"/>
        </w:r>
        <w:r>
          <w:rPr>
            <w:noProof/>
            <w:webHidden/>
          </w:rPr>
          <w:instrText xml:space="preserve"> PAGEREF _Toc242407987 \h </w:instrText>
        </w:r>
        <w:r>
          <w:rPr>
            <w:noProof/>
            <w:webHidden/>
          </w:rPr>
        </w:r>
        <w:r>
          <w:rPr>
            <w:noProof/>
            <w:webHidden/>
          </w:rPr>
          <w:fldChar w:fldCharType="separate"/>
        </w:r>
        <w:r>
          <w:rPr>
            <w:noProof/>
            <w:webHidden/>
          </w:rPr>
          <w:t>23</w:t>
        </w:r>
        <w:r>
          <w:rPr>
            <w:noProof/>
            <w:webHidden/>
          </w:rPr>
          <w:fldChar w:fldCharType="end"/>
        </w:r>
      </w:hyperlink>
    </w:p>
    <w:p w14:paraId="380112B4" w14:textId="79D176E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8" w:history="1">
        <w:r w:rsidRPr="006872AE">
          <w:rPr>
            <w:rStyle w:val="Hyperlink"/>
            <w:noProof/>
          </w:rPr>
          <w:t>Figure 1f. Worked example: the dotted line is 80% of OPV3's own 2024 doses. The forecast remains above it, so OPV3 is not flagged.</w:t>
        </w:r>
        <w:r>
          <w:rPr>
            <w:noProof/>
            <w:webHidden/>
          </w:rPr>
          <w:tab/>
        </w:r>
        <w:r>
          <w:rPr>
            <w:noProof/>
            <w:webHidden/>
          </w:rPr>
          <w:fldChar w:fldCharType="begin"/>
        </w:r>
        <w:r>
          <w:rPr>
            <w:noProof/>
            <w:webHidden/>
          </w:rPr>
          <w:instrText xml:space="preserve"> PAGEREF _Toc242407988 \h </w:instrText>
        </w:r>
        <w:r>
          <w:rPr>
            <w:noProof/>
            <w:webHidden/>
          </w:rPr>
        </w:r>
        <w:r>
          <w:rPr>
            <w:noProof/>
            <w:webHidden/>
          </w:rPr>
          <w:fldChar w:fldCharType="separate"/>
        </w:r>
        <w:r>
          <w:rPr>
            <w:noProof/>
            <w:webHidden/>
          </w:rPr>
          <w:t>24</w:t>
        </w:r>
        <w:r>
          <w:rPr>
            <w:noProof/>
            <w:webHidden/>
          </w:rPr>
          <w:fldChar w:fldCharType="end"/>
        </w:r>
      </w:hyperlink>
    </w:p>
    <w:p w14:paraId="1C37567D" w14:textId="566A160E"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89" w:history="1">
        <w:r w:rsidRPr="006872AE">
          <w:rPr>
            <w:rStyle w:val="Hyperlink"/>
            <w:noProof/>
          </w:rPr>
          <w:t>Figure 2. National dropout-rate forecasts for the three antigen transitions (Prophet).</w:t>
        </w:r>
        <w:r>
          <w:rPr>
            <w:noProof/>
            <w:webHidden/>
          </w:rPr>
          <w:tab/>
        </w:r>
        <w:r>
          <w:rPr>
            <w:noProof/>
            <w:webHidden/>
          </w:rPr>
          <w:fldChar w:fldCharType="begin"/>
        </w:r>
        <w:r>
          <w:rPr>
            <w:noProof/>
            <w:webHidden/>
          </w:rPr>
          <w:instrText xml:space="preserve"> PAGEREF _Toc242407989 \h </w:instrText>
        </w:r>
        <w:r>
          <w:rPr>
            <w:noProof/>
            <w:webHidden/>
          </w:rPr>
        </w:r>
        <w:r>
          <w:rPr>
            <w:noProof/>
            <w:webHidden/>
          </w:rPr>
          <w:fldChar w:fldCharType="separate"/>
        </w:r>
        <w:r>
          <w:rPr>
            <w:noProof/>
            <w:webHidden/>
          </w:rPr>
          <w:t>25</w:t>
        </w:r>
        <w:r>
          <w:rPr>
            <w:noProof/>
            <w:webHidden/>
          </w:rPr>
          <w:fldChar w:fldCharType="end"/>
        </w:r>
      </w:hyperlink>
    </w:p>
    <w:p w14:paraId="11FDBDBF" w14:textId="3C390F99"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0" w:history="1">
        <w:r w:rsidRPr="006872AE">
          <w:rPr>
            <w:rStyle w:val="Hyperlink"/>
            <w:noProof/>
          </w:rPr>
          <w:t>Figure 3. Observed and forecast dropout by state (Penta1–Penta3 and Measles1–Measles2).</w:t>
        </w:r>
        <w:r>
          <w:rPr>
            <w:noProof/>
            <w:webHidden/>
          </w:rPr>
          <w:tab/>
        </w:r>
        <w:r>
          <w:rPr>
            <w:noProof/>
            <w:webHidden/>
          </w:rPr>
          <w:fldChar w:fldCharType="begin"/>
        </w:r>
        <w:r>
          <w:rPr>
            <w:noProof/>
            <w:webHidden/>
          </w:rPr>
          <w:instrText xml:space="preserve"> PAGEREF _Toc242407990 \h </w:instrText>
        </w:r>
        <w:r>
          <w:rPr>
            <w:noProof/>
            <w:webHidden/>
          </w:rPr>
        </w:r>
        <w:r>
          <w:rPr>
            <w:noProof/>
            <w:webHidden/>
          </w:rPr>
          <w:fldChar w:fldCharType="separate"/>
        </w:r>
        <w:r>
          <w:rPr>
            <w:noProof/>
            <w:webHidden/>
          </w:rPr>
          <w:t>25</w:t>
        </w:r>
        <w:r>
          <w:rPr>
            <w:noProof/>
            <w:webHidden/>
          </w:rPr>
          <w:fldChar w:fldCharType="end"/>
        </w:r>
      </w:hyperlink>
    </w:p>
    <w:p w14:paraId="4E65150A" w14:textId="616648D1"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1" w:history="1">
        <w:r w:rsidRPr="006872AE">
          <w:rPr>
            <w:rStyle w:val="Hyperlink"/>
            <w:noProof/>
          </w:rPr>
          <w:t>Figure 4. LASSO feature importance for the three dropout transitions.</w:t>
        </w:r>
        <w:r>
          <w:rPr>
            <w:noProof/>
            <w:webHidden/>
          </w:rPr>
          <w:tab/>
        </w:r>
        <w:r>
          <w:rPr>
            <w:noProof/>
            <w:webHidden/>
          </w:rPr>
          <w:fldChar w:fldCharType="begin"/>
        </w:r>
        <w:r>
          <w:rPr>
            <w:noProof/>
            <w:webHidden/>
          </w:rPr>
          <w:instrText xml:space="preserve"> PAGEREF _Toc242407991 \h </w:instrText>
        </w:r>
        <w:r>
          <w:rPr>
            <w:noProof/>
            <w:webHidden/>
          </w:rPr>
        </w:r>
        <w:r>
          <w:rPr>
            <w:noProof/>
            <w:webHidden/>
          </w:rPr>
          <w:fldChar w:fldCharType="separate"/>
        </w:r>
        <w:r>
          <w:rPr>
            <w:noProof/>
            <w:webHidden/>
          </w:rPr>
          <w:t>25</w:t>
        </w:r>
        <w:r>
          <w:rPr>
            <w:noProof/>
            <w:webHidden/>
          </w:rPr>
          <w:fldChar w:fldCharType="end"/>
        </w:r>
      </w:hyperlink>
    </w:p>
    <w:p w14:paraId="16E4F382" w14:textId="408F2F87"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2" w:history="1">
        <w:r w:rsidRPr="006872AE">
          <w:rPr>
            <w:rStyle w:val="Hyperlink"/>
            <w:noProof/>
          </w:rPr>
          <w:t>Figures 5–6. Observed zero-dose by state (NDHS 2024) and the composite equity-deprivation tiers.</w:t>
        </w:r>
        <w:r>
          <w:rPr>
            <w:noProof/>
            <w:webHidden/>
          </w:rPr>
          <w:tab/>
        </w:r>
        <w:r>
          <w:rPr>
            <w:noProof/>
            <w:webHidden/>
          </w:rPr>
          <w:fldChar w:fldCharType="begin"/>
        </w:r>
        <w:r>
          <w:rPr>
            <w:noProof/>
            <w:webHidden/>
          </w:rPr>
          <w:instrText xml:space="preserve"> PAGEREF _Toc242407992 \h </w:instrText>
        </w:r>
        <w:r>
          <w:rPr>
            <w:noProof/>
            <w:webHidden/>
          </w:rPr>
        </w:r>
        <w:r>
          <w:rPr>
            <w:noProof/>
            <w:webHidden/>
          </w:rPr>
          <w:fldChar w:fldCharType="separate"/>
        </w:r>
        <w:r>
          <w:rPr>
            <w:noProof/>
            <w:webHidden/>
          </w:rPr>
          <w:t>26</w:t>
        </w:r>
        <w:r>
          <w:rPr>
            <w:noProof/>
            <w:webHidden/>
          </w:rPr>
          <w:fldChar w:fldCharType="end"/>
        </w:r>
      </w:hyperlink>
    </w:p>
    <w:p w14:paraId="685E71A7" w14:textId="5341BDB1"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3" w:history="1">
        <w:r w:rsidRPr="006872AE">
          <w:rPr>
            <w:rStyle w:val="Hyperlink"/>
            <w:noProof/>
          </w:rPr>
          <w:t>Figure 6b. LGA-level composite equity-deprivation tiers, 774 LGAs (GRID3 boundaries).</w:t>
        </w:r>
        <w:r>
          <w:rPr>
            <w:noProof/>
            <w:webHidden/>
          </w:rPr>
          <w:tab/>
        </w:r>
        <w:r>
          <w:rPr>
            <w:noProof/>
            <w:webHidden/>
          </w:rPr>
          <w:fldChar w:fldCharType="begin"/>
        </w:r>
        <w:r>
          <w:rPr>
            <w:noProof/>
            <w:webHidden/>
          </w:rPr>
          <w:instrText xml:space="preserve"> PAGEREF _Toc242407993 \h </w:instrText>
        </w:r>
        <w:r>
          <w:rPr>
            <w:noProof/>
            <w:webHidden/>
          </w:rPr>
        </w:r>
        <w:r>
          <w:rPr>
            <w:noProof/>
            <w:webHidden/>
          </w:rPr>
          <w:fldChar w:fldCharType="separate"/>
        </w:r>
        <w:r>
          <w:rPr>
            <w:noProof/>
            <w:webHidden/>
          </w:rPr>
          <w:t>27</w:t>
        </w:r>
        <w:r>
          <w:rPr>
            <w:noProof/>
            <w:webHidden/>
          </w:rPr>
          <w:fldChar w:fldCharType="end"/>
        </w:r>
      </w:hyperlink>
    </w:p>
    <w:p w14:paraId="0A3B130D" w14:textId="3ABAFC4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4" w:history="1">
        <w:r w:rsidRPr="006872AE">
          <w:rPr>
            <w:rStyle w:val="Hyperlink"/>
            <w:noProof/>
          </w:rPr>
          <w:t>Figure 6c. MGWR local coefficient surfaces: which barrier is strongest where. Red indicates association with higher zero-dose, blue the reverse; unmodelled LGAs are blank.</w:t>
        </w:r>
        <w:r>
          <w:rPr>
            <w:noProof/>
            <w:webHidden/>
          </w:rPr>
          <w:tab/>
        </w:r>
        <w:r>
          <w:rPr>
            <w:noProof/>
            <w:webHidden/>
          </w:rPr>
          <w:fldChar w:fldCharType="begin"/>
        </w:r>
        <w:r>
          <w:rPr>
            <w:noProof/>
            <w:webHidden/>
          </w:rPr>
          <w:instrText xml:space="preserve"> PAGEREF _Toc242407994 \h </w:instrText>
        </w:r>
        <w:r>
          <w:rPr>
            <w:noProof/>
            <w:webHidden/>
          </w:rPr>
        </w:r>
        <w:r>
          <w:rPr>
            <w:noProof/>
            <w:webHidden/>
          </w:rPr>
          <w:fldChar w:fldCharType="separate"/>
        </w:r>
        <w:r>
          <w:rPr>
            <w:noProof/>
            <w:webHidden/>
          </w:rPr>
          <w:t>28</w:t>
        </w:r>
        <w:r>
          <w:rPr>
            <w:noProof/>
            <w:webHidden/>
          </w:rPr>
          <w:fldChar w:fldCharType="end"/>
        </w:r>
      </w:hyperlink>
    </w:p>
    <w:p w14:paraId="1756851C" w14:textId="0D3F487F"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5" w:history="1">
        <w:r w:rsidRPr="006872AE">
          <w:rPr>
            <w:rStyle w:val="Hyperlink"/>
            <w:noProof/>
          </w:rPr>
          <w:t>Figures 7–8. Coded caregiver concerns and the Composite Hesitancy Index versus zero-dose burden (decoupling).</w:t>
        </w:r>
        <w:r>
          <w:rPr>
            <w:noProof/>
            <w:webHidden/>
          </w:rPr>
          <w:tab/>
        </w:r>
        <w:r>
          <w:rPr>
            <w:noProof/>
            <w:webHidden/>
          </w:rPr>
          <w:fldChar w:fldCharType="begin"/>
        </w:r>
        <w:r>
          <w:rPr>
            <w:noProof/>
            <w:webHidden/>
          </w:rPr>
          <w:instrText xml:space="preserve"> PAGEREF _Toc242407995 \h </w:instrText>
        </w:r>
        <w:r>
          <w:rPr>
            <w:noProof/>
            <w:webHidden/>
          </w:rPr>
        </w:r>
        <w:r>
          <w:rPr>
            <w:noProof/>
            <w:webHidden/>
          </w:rPr>
          <w:fldChar w:fldCharType="separate"/>
        </w:r>
        <w:r>
          <w:rPr>
            <w:noProof/>
            <w:webHidden/>
          </w:rPr>
          <w:t>29</w:t>
        </w:r>
        <w:r>
          <w:rPr>
            <w:noProof/>
            <w:webHidden/>
          </w:rPr>
          <w:fldChar w:fldCharType="end"/>
        </w:r>
      </w:hyperlink>
    </w:p>
    <w:p w14:paraId="6D3D3D2A" w14:textId="0244CFB6"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6" w:history="1">
        <w:r w:rsidRPr="006872AE">
          <w:rPr>
            <w:rStyle w:val="Hyperlink"/>
            <w:noProof/>
          </w:rPr>
          <w:t>Figure 9. State-level zero-dose: NDHS 2008-2024 observations and Method 1 forecasts for 2026-2028 (shaded bands are 95% credible intervals).</w:t>
        </w:r>
        <w:r>
          <w:rPr>
            <w:noProof/>
            <w:webHidden/>
          </w:rPr>
          <w:tab/>
        </w:r>
        <w:r>
          <w:rPr>
            <w:noProof/>
            <w:webHidden/>
          </w:rPr>
          <w:fldChar w:fldCharType="begin"/>
        </w:r>
        <w:r>
          <w:rPr>
            <w:noProof/>
            <w:webHidden/>
          </w:rPr>
          <w:instrText xml:space="preserve"> PAGEREF _Toc242407996 \h </w:instrText>
        </w:r>
        <w:r>
          <w:rPr>
            <w:noProof/>
            <w:webHidden/>
          </w:rPr>
        </w:r>
        <w:r>
          <w:rPr>
            <w:noProof/>
            <w:webHidden/>
          </w:rPr>
          <w:fldChar w:fldCharType="separate"/>
        </w:r>
        <w:r>
          <w:rPr>
            <w:noProof/>
            <w:webHidden/>
          </w:rPr>
          <w:t>30</w:t>
        </w:r>
        <w:r>
          <w:rPr>
            <w:noProof/>
            <w:webHidden/>
          </w:rPr>
          <w:fldChar w:fldCharType="end"/>
        </w:r>
      </w:hyperlink>
    </w:p>
    <w:p w14:paraId="616064B9" w14:textId="6D6755A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7" w:history="1">
        <w:r w:rsidRPr="006872AE">
          <w:rPr>
            <w:rStyle w:val="Hyperlink"/>
            <w:noProof/>
          </w:rPr>
          <w:t>Figure 10. Predicted state zero-dose rate (2026) with 95% credible intervals, by zone, against NDHS 2024 observed values.</w:t>
        </w:r>
        <w:r>
          <w:rPr>
            <w:noProof/>
            <w:webHidden/>
          </w:rPr>
          <w:tab/>
        </w:r>
        <w:r>
          <w:rPr>
            <w:noProof/>
            <w:webHidden/>
          </w:rPr>
          <w:fldChar w:fldCharType="begin"/>
        </w:r>
        <w:r>
          <w:rPr>
            <w:noProof/>
            <w:webHidden/>
          </w:rPr>
          <w:instrText xml:space="preserve"> PAGEREF _Toc242407997 \h </w:instrText>
        </w:r>
        <w:r>
          <w:rPr>
            <w:noProof/>
            <w:webHidden/>
          </w:rPr>
        </w:r>
        <w:r>
          <w:rPr>
            <w:noProof/>
            <w:webHidden/>
          </w:rPr>
          <w:fldChar w:fldCharType="separate"/>
        </w:r>
        <w:r>
          <w:rPr>
            <w:noProof/>
            <w:webHidden/>
          </w:rPr>
          <w:t>31</w:t>
        </w:r>
        <w:r>
          <w:rPr>
            <w:noProof/>
            <w:webHidden/>
          </w:rPr>
          <w:fldChar w:fldCharType="end"/>
        </w:r>
      </w:hyperlink>
    </w:p>
    <w:p w14:paraId="4A04FFC6" w14:textId="4A5A71CC"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8" w:history="1">
        <w:r w:rsidRPr="006872AE">
          <w:rPr>
            <w:rStyle w:val="Hyperlink"/>
            <w:noProof/>
          </w:rPr>
          <w:t>Figures 11-12. Method 1 LGA zero-dose rate (2026) and Getis-Ord Gi* hotspot clusters, 773 LGAs.</w:t>
        </w:r>
        <w:r>
          <w:rPr>
            <w:noProof/>
            <w:webHidden/>
          </w:rPr>
          <w:tab/>
        </w:r>
        <w:r>
          <w:rPr>
            <w:noProof/>
            <w:webHidden/>
          </w:rPr>
          <w:fldChar w:fldCharType="begin"/>
        </w:r>
        <w:r>
          <w:rPr>
            <w:noProof/>
            <w:webHidden/>
          </w:rPr>
          <w:instrText xml:space="preserve"> PAGEREF _Toc242407998 \h </w:instrText>
        </w:r>
        <w:r>
          <w:rPr>
            <w:noProof/>
            <w:webHidden/>
          </w:rPr>
        </w:r>
        <w:r>
          <w:rPr>
            <w:noProof/>
            <w:webHidden/>
          </w:rPr>
          <w:fldChar w:fldCharType="separate"/>
        </w:r>
        <w:r>
          <w:rPr>
            <w:noProof/>
            <w:webHidden/>
          </w:rPr>
          <w:t>31</w:t>
        </w:r>
        <w:r>
          <w:rPr>
            <w:noProof/>
            <w:webHidden/>
          </w:rPr>
          <w:fldChar w:fldCharType="end"/>
        </w:r>
      </w:hyperlink>
    </w:p>
    <w:p w14:paraId="3CD51E5B" w14:textId="648D4E50"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7999" w:history="1">
        <w:r w:rsidRPr="006872AE">
          <w:rPr>
            <w:rStyle w:val="Hyperlink"/>
            <w:noProof/>
          </w:rPr>
          <w:t>Figure 13. Forecast state zero-dose hotspots, 2026-2028 (Getis-Ord Gi*, Queen contiguity; Method 1).</w:t>
        </w:r>
        <w:r>
          <w:rPr>
            <w:noProof/>
            <w:webHidden/>
          </w:rPr>
          <w:tab/>
        </w:r>
        <w:r>
          <w:rPr>
            <w:noProof/>
            <w:webHidden/>
          </w:rPr>
          <w:fldChar w:fldCharType="begin"/>
        </w:r>
        <w:r>
          <w:rPr>
            <w:noProof/>
            <w:webHidden/>
          </w:rPr>
          <w:instrText xml:space="preserve"> PAGEREF _Toc242407999 \h </w:instrText>
        </w:r>
        <w:r>
          <w:rPr>
            <w:noProof/>
            <w:webHidden/>
          </w:rPr>
        </w:r>
        <w:r>
          <w:rPr>
            <w:noProof/>
            <w:webHidden/>
          </w:rPr>
          <w:fldChar w:fldCharType="separate"/>
        </w:r>
        <w:r>
          <w:rPr>
            <w:noProof/>
            <w:webHidden/>
          </w:rPr>
          <w:t>32</w:t>
        </w:r>
        <w:r>
          <w:rPr>
            <w:noProof/>
            <w:webHidden/>
          </w:rPr>
          <w:fldChar w:fldCharType="end"/>
        </w:r>
      </w:hyperlink>
    </w:p>
    <w:p w14:paraId="56FA5137" w14:textId="1EB19B5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0" w:history="1">
        <w:r w:rsidRPr="006872AE">
          <w:rPr>
            <w:rStyle w:val="Hyperlink"/>
            <w:noProof/>
          </w:rPr>
          <w:t>Figure 14. Pareto concentration of zero-dose burden across 773 LGAs (Method 1; total 2.10 million children), with the LGAs needed to reach 50%, 60% and 80%.</w:t>
        </w:r>
        <w:r>
          <w:rPr>
            <w:noProof/>
            <w:webHidden/>
          </w:rPr>
          <w:tab/>
        </w:r>
        <w:r>
          <w:rPr>
            <w:noProof/>
            <w:webHidden/>
          </w:rPr>
          <w:fldChar w:fldCharType="begin"/>
        </w:r>
        <w:r>
          <w:rPr>
            <w:noProof/>
            <w:webHidden/>
          </w:rPr>
          <w:instrText xml:space="preserve"> PAGEREF _Toc242408000 \h </w:instrText>
        </w:r>
        <w:r>
          <w:rPr>
            <w:noProof/>
            <w:webHidden/>
          </w:rPr>
        </w:r>
        <w:r>
          <w:rPr>
            <w:noProof/>
            <w:webHidden/>
          </w:rPr>
          <w:fldChar w:fldCharType="separate"/>
        </w:r>
        <w:r>
          <w:rPr>
            <w:noProof/>
            <w:webHidden/>
          </w:rPr>
          <w:t>32</w:t>
        </w:r>
        <w:r>
          <w:rPr>
            <w:noProof/>
            <w:webHidden/>
          </w:rPr>
          <w:fldChar w:fldCharType="end"/>
        </w:r>
      </w:hyperlink>
    </w:p>
    <w:p w14:paraId="5C0A81BF" w14:textId="39E26FBF"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1" w:history="1">
        <w:r w:rsidRPr="006872AE">
          <w:rPr>
            <w:rStyle w:val="Hyperlink"/>
            <w:noProof/>
          </w:rPr>
          <w:t>Figure 15. LGA archetypes (774 LGAs) and each archetype's share of children and of modelled zero-dose children under both methods.</w:t>
        </w:r>
        <w:r>
          <w:rPr>
            <w:noProof/>
            <w:webHidden/>
          </w:rPr>
          <w:tab/>
        </w:r>
        <w:r>
          <w:rPr>
            <w:noProof/>
            <w:webHidden/>
          </w:rPr>
          <w:fldChar w:fldCharType="begin"/>
        </w:r>
        <w:r>
          <w:rPr>
            <w:noProof/>
            <w:webHidden/>
          </w:rPr>
          <w:instrText xml:space="preserve"> PAGEREF _Toc242408001 \h </w:instrText>
        </w:r>
        <w:r>
          <w:rPr>
            <w:noProof/>
            <w:webHidden/>
          </w:rPr>
        </w:r>
        <w:r>
          <w:rPr>
            <w:noProof/>
            <w:webHidden/>
          </w:rPr>
          <w:fldChar w:fldCharType="separate"/>
        </w:r>
        <w:r>
          <w:rPr>
            <w:noProof/>
            <w:webHidden/>
          </w:rPr>
          <w:t>34</w:t>
        </w:r>
        <w:r>
          <w:rPr>
            <w:noProof/>
            <w:webHidden/>
          </w:rPr>
          <w:fldChar w:fldCharType="end"/>
        </w:r>
      </w:hyperlink>
    </w:p>
    <w:p w14:paraId="1A206344" w14:textId="0D5AA6F7"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2" w:history="1">
        <w:r w:rsidRPr="006872AE">
          <w:rPr>
            <w:rStyle w:val="Hyperlink"/>
            <w:noProof/>
          </w:rPr>
          <w:t>Figure 16. Antenatal care (four or more visits) against the Method 1 zero-dose rate (766 LGAs), and maternal-care indicators and zero-dose under both methods, by archetype.</w:t>
        </w:r>
        <w:r>
          <w:rPr>
            <w:noProof/>
            <w:webHidden/>
          </w:rPr>
          <w:tab/>
        </w:r>
        <w:r>
          <w:rPr>
            <w:noProof/>
            <w:webHidden/>
          </w:rPr>
          <w:fldChar w:fldCharType="begin"/>
        </w:r>
        <w:r>
          <w:rPr>
            <w:noProof/>
            <w:webHidden/>
          </w:rPr>
          <w:instrText xml:space="preserve"> PAGEREF _Toc242408002 \h </w:instrText>
        </w:r>
        <w:r>
          <w:rPr>
            <w:noProof/>
            <w:webHidden/>
          </w:rPr>
        </w:r>
        <w:r>
          <w:rPr>
            <w:noProof/>
            <w:webHidden/>
          </w:rPr>
          <w:fldChar w:fldCharType="separate"/>
        </w:r>
        <w:r>
          <w:rPr>
            <w:noProof/>
            <w:webHidden/>
          </w:rPr>
          <w:t>35</w:t>
        </w:r>
        <w:r>
          <w:rPr>
            <w:noProof/>
            <w:webHidden/>
          </w:rPr>
          <w:fldChar w:fldCharType="end"/>
        </w:r>
      </w:hyperlink>
    </w:p>
    <w:p w14:paraId="678CEA3D" w14:textId="225019AD"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3" w:history="1">
        <w:r w:rsidRPr="006872AE">
          <w:rPr>
            <w:rStyle w:val="Hyperlink"/>
            <w:noProof/>
          </w:rPr>
          <w:t>Figure 16b. Structure of the Bayesian small-area model (Method 2).</w:t>
        </w:r>
        <w:r>
          <w:rPr>
            <w:noProof/>
            <w:webHidden/>
          </w:rPr>
          <w:tab/>
        </w:r>
        <w:r>
          <w:rPr>
            <w:noProof/>
            <w:webHidden/>
          </w:rPr>
          <w:fldChar w:fldCharType="begin"/>
        </w:r>
        <w:r>
          <w:rPr>
            <w:noProof/>
            <w:webHidden/>
          </w:rPr>
          <w:instrText xml:space="preserve"> PAGEREF _Toc242408003 \h </w:instrText>
        </w:r>
        <w:r>
          <w:rPr>
            <w:noProof/>
            <w:webHidden/>
          </w:rPr>
        </w:r>
        <w:r>
          <w:rPr>
            <w:noProof/>
            <w:webHidden/>
          </w:rPr>
          <w:fldChar w:fldCharType="separate"/>
        </w:r>
        <w:r>
          <w:rPr>
            <w:noProof/>
            <w:webHidden/>
          </w:rPr>
          <w:t>37</w:t>
        </w:r>
        <w:r>
          <w:rPr>
            <w:noProof/>
            <w:webHidden/>
          </w:rPr>
          <w:fldChar w:fldCharType="end"/>
        </w:r>
      </w:hyperlink>
    </w:p>
    <w:p w14:paraId="24030B64" w14:textId="6F4556C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4" w:history="1">
        <w:r w:rsidRPr="006872AE">
          <w:rPr>
            <w:rStyle w:val="Hyperlink"/>
            <w:noProof/>
          </w:rPr>
          <w:t>Figure 16c. Method 2 LGA zero-dose rate for 2026 and the width of its 95% credible interval, 774 LGAs.</w:t>
        </w:r>
        <w:r>
          <w:rPr>
            <w:noProof/>
            <w:webHidden/>
          </w:rPr>
          <w:tab/>
        </w:r>
        <w:r>
          <w:rPr>
            <w:noProof/>
            <w:webHidden/>
          </w:rPr>
          <w:fldChar w:fldCharType="begin"/>
        </w:r>
        <w:r>
          <w:rPr>
            <w:noProof/>
            <w:webHidden/>
          </w:rPr>
          <w:instrText xml:space="preserve"> PAGEREF _Toc242408004 \h </w:instrText>
        </w:r>
        <w:r>
          <w:rPr>
            <w:noProof/>
            <w:webHidden/>
          </w:rPr>
        </w:r>
        <w:r>
          <w:rPr>
            <w:noProof/>
            <w:webHidden/>
          </w:rPr>
          <w:fldChar w:fldCharType="separate"/>
        </w:r>
        <w:r>
          <w:rPr>
            <w:noProof/>
            <w:webHidden/>
          </w:rPr>
          <w:t>37</w:t>
        </w:r>
        <w:r>
          <w:rPr>
            <w:noProof/>
            <w:webHidden/>
          </w:rPr>
          <w:fldChar w:fldCharType="end"/>
        </w:r>
      </w:hyperlink>
    </w:p>
    <w:p w14:paraId="23D8BE04" w14:textId="23C7A107"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5" w:history="1">
        <w:r w:rsidRPr="006872AE">
          <w:rPr>
            <w:rStyle w:val="Hyperlink"/>
            <w:noProof/>
          </w:rPr>
          <w:t>Figure 16d. Method 2 modelled zero-dose children per LGA and the probability that each LGA is among the 155 highest-burden LGAs.</w:t>
        </w:r>
        <w:r>
          <w:rPr>
            <w:noProof/>
            <w:webHidden/>
          </w:rPr>
          <w:tab/>
        </w:r>
        <w:r>
          <w:rPr>
            <w:noProof/>
            <w:webHidden/>
          </w:rPr>
          <w:fldChar w:fldCharType="begin"/>
        </w:r>
        <w:r>
          <w:rPr>
            <w:noProof/>
            <w:webHidden/>
          </w:rPr>
          <w:instrText xml:space="preserve"> PAGEREF _Toc242408005 \h </w:instrText>
        </w:r>
        <w:r>
          <w:rPr>
            <w:noProof/>
            <w:webHidden/>
          </w:rPr>
        </w:r>
        <w:r>
          <w:rPr>
            <w:noProof/>
            <w:webHidden/>
          </w:rPr>
          <w:fldChar w:fldCharType="separate"/>
        </w:r>
        <w:r>
          <w:rPr>
            <w:noProof/>
            <w:webHidden/>
          </w:rPr>
          <w:t>38</w:t>
        </w:r>
        <w:r>
          <w:rPr>
            <w:noProof/>
            <w:webHidden/>
          </w:rPr>
          <w:fldChar w:fldCharType="end"/>
        </w:r>
      </w:hyperlink>
    </w:p>
    <w:p w14:paraId="4CFE6C41" w14:textId="1320CF3D"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6" w:history="1">
        <w:r w:rsidRPr="006872AE">
          <w:rPr>
            <w:rStyle w:val="Hyperlink"/>
            <w:noProof/>
          </w:rPr>
          <w:t>Figure 16e. Posterior covariate effects in the Bayesian small-area model (log-odds of zero-dose per standard deviation; 80% and 95% credible intervals).</w:t>
        </w:r>
        <w:r>
          <w:rPr>
            <w:noProof/>
            <w:webHidden/>
          </w:rPr>
          <w:tab/>
        </w:r>
        <w:r>
          <w:rPr>
            <w:noProof/>
            <w:webHidden/>
          </w:rPr>
          <w:fldChar w:fldCharType="begin"/>
        </w:r>
        <w:r>
          <w:rPr>
            <w:noProof/>
            <w:webHidden/>
          </w:rPr>
          <w:instrText xml:space="preserve"> PAGEREF _Toc242408006 \h </w:instrText>
        </w:r>
        <w:r>
          <w:rPr>
            <w:noProof/>
            <w:webHidden/>
          </w:rPr>
        </w:r>
        <w:r>
          <w:rPr>
            <w:noProof/>
            <w:webHidden/>
          </w:rPr>
          <w:fldChar w:fldCharType="separate"/>
        </w:r>
        <w:r>
          <w:rPr>
            <w:noProof/>
            <w:webHidden/>
          </w:rPr>
          <w:t>39</w:t>
        </w:r>
        <w:r>
          <w:rPr>
            <w:noProof/>
            <w:webHidden/>
          </w:rPr>
          <w:fldChar w:fldCharType="end"/>
        </w:r>
      </w:hyperlink>
    </w:p>
    <w:p w14:paraId="578BDA6B" w14:textId="62459656"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7" w:history="1">
        <w:r w:rsidRPr="006872AE">
          <w:rPr>
            <w:rStyle w:val="Hyperlink"/>
            <w:noProof/>
          </w:rPr>
          <w:t>Figure 16f. Method 2 model performance: fit to all NDHS rounds, independent NmDHS 2025-26 check, and Markov chain Monte Carlo diagnostics.</w:t>
        </w:r>
        <w:r>
          <w:rPr>
            <w:noProof/>
            <w:webHidden/>
          </w:rPr>
          <w:tab/>
        </w:r>
        <w:r>
          <w:rPr>
            <w:noProof/>
            <w:webHidden/>
          </w:rPr>
          <w:fldChar w:fldCharType="begin"/>
        </w:r>
        <w:r>
          <w:rPr>
            <w:noProof/>
            <w:webHidden/>
          </w:rPr>
          <w:instrText xml:space="preserve"> PAGEREF _Toc242408007 \h </w:instrText>
        </w:r>
        <w:r>
          <w:rPr>
            <w:noProof/>
            <w:webHidden/>
          </w:rPr>
        </w:r>
        <w:r>
          <w:rPr>
            <w:noProof/>
            <w:webHidden/>
          </w:rPr>
          <w:fldChar w:fldCharType="separate"/>
        </w:r>
        <w:r>
          <w:rPr>
            <w:noProof/>
            <w:webHidden/>
          </w:rPr>
          <w:t>39</w:t>
        </w:r>
        <w:r>
          <w:rPr>
            <w:noProof/>
            <w:webHidden/>
          </w:rPr>
          <w:fldChar w:fldCharType="end"/>
        </w:r>
      </w:hyperlink>
    </w:p>
    <w:p w14:paraId="2B472EC9" w14:textId="3B92BB5D"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8" w:history="1">
        <w:r w:rsidRPr="006872AE">
          <w:rPr>
            <w:rStyle w:val="Hyperlink"/>
            <w:noProof/>
          </w:rPr>
          <w:t>Figure 16g. Routine administrative Penta1 coverage compared with survey-anchored small-area estimates.</w:t>
        </w:r>
        <w:r>
          <w:rPr>
            <w:noProof/>
            <w:webHidden/>
          </w:rPr>
          <w:tab/>
        </w:r>
        <w:r>
          <w:rPr>
            <w:noProof/>
            <w:webHidden/>
          </w:rPr>
          <w:fldChar w:fldCharType="begin"/>
        </w:r>
        <w:r>
          <w:rPr>
            <w:noProof/>
            <w:webHidden/>
          </w:rPr>
          <w:instrText xml:space="preserve"> PAGEREF _Toc242408008 \h </w:instrText>
        </w:r>
        <w:r>
          <w:rPr>
            <w:noProof/>
            <w:webHidden/>
          </w:rPr>
        </w:r>
        <w:r>
          <w:rPr>
            <w:noProof/>
            <w:webHidden/>
          </w:rPr>
          <w:fldChar w:fldCharType="separate"/>
        </w:r>
        <w:r>
          <w:rPr>
            <w:noProof/>
            <w:webHidden/>
          </w:rPr>
          <w:t>40</w:t>
        </w:r>
        <w:r>
          <w:rPr>
            <w:noProof/>
            <w:webHidden/>
          </w:rPr>
          <w:fldChar w:fldCharType="end"/>
        </w:r>
      </w:hyperlink>
    </w:p>
    <w:p w14:paraId="64DAAEC8" w14:textId="0ED6CE55"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09" w:history="1">
        <w:r w:rsidRPr="006872AE">
          <w:rPr>
            <w:rStyle w:val="Hyperlink"/>
            <w:noProof/>
          </w:rPr>
          <w:t>Figure 16h. Modelled zero-dose children by zone, 2026, under both methods, with 95% intervals.</w:t>
        </w:r>
        <w:r>
          <w:rPr>
            <w:noProof/>
            <w:webHidden/>
          </w:rPr>
          <w:tab/>
        </w:r>
        <w:r>
          <w:rPr>
            <w:noProof/>
            <w:webHidden/>
          </w:rPr>
          <w:fldChar w:fldCharType="begin"/>
        </w:r>
        <w:r>
          <w:rPr>
            <w:noProof/>
            <w:webHidden/>
          </w:rPr>
          <w:instrText xml:space="preserve"> PAGEREF _Toc242408009 \h </w:instrText>
        </w:r>
        <w:r>
          <w:rPr>
            <w:noProof/>
            <w:webHidden/>
          </w:rPr>
        </w:r>
        <w:r>
          <w:rPr>
            <w:noProof/>
            <w:webHidden/>
          </w:rPr>
          <w:fldChar w:fldCharType="separate"/>
        </w:r>
        <w:r>
          <w:rPr>
            <w:noProof/>
            <w:webHidden/>
          </w:rPr>
          <w:t>41</w:t>
        </w:r>
        <w:r>
          <w:rPr>
            <w:noProof/>
            <w:webHidden/>
          </w:rPr>
          <w:fldChar w:fldCharType="end"/>
        </w:r>
      </w:hyperlink>
    </w:p>
    <w:p w14:paraId="34701FB9" w14:textId="299BD863"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0" w:history="1">
        <w:r w:rsidRPr="006872AE">
          <w:rPr>
            <w:rStyle w:val="Hyperlink"/>
            <w:noProof/>
          </w:rPr>
          <w:t>Figure 16i. LGA-level agreement between Method 1 and Method 2, 773 LGAs.</w:t>
        </w:r>
        <w:r>
          <w:rPr>
            <w:noProof/>
            <w:webHidden/>
          </w:rPr>
          <w:tab/>
        </w:r>
        <w:r>
          <w:rPr>
            <w:noProof/>
            <w:webHidden/>
          </w:rPr>
          <w:fldChar w:fldCharType="begin"/>
        </w:r>
        <w:r>
          <w:rPr>
            <w:noProof/>
            <w:webHidden/>
          </w:rPr>
          <w:instrText xml:space="preserve"> PAGEREF _Toc242408010 \h </w:instrText>
        </w:r>
        <w:r>
          <w:rPr>
            <w:noProof/>
            <w:webHidden/>
          </w:rPr>
        </w:r>
        <w:r>
          <w:rPr>
            <w:noProof/>
            <w:webHidden/>
          </w:rPr>
          <w:fldChar w:fldCharType="separate"/>
        </w:r>
        <w:r>
          <w:rPr>
            <w:noProof/>
            <w:webHidden/>
          </w:rPr>
          <w:t>42</w:t>
        </w:r>
        <w:r>
          <w:rPr>
            <w:noProof/>
            <w:webHidden/>
          </w:rPr>
          <w:fldChar w:fldCharType="end"/>
        </w:r>
      </w:hyperlink>
    </w:p>
    <w:p w14:paraId="4C7DD9B8" w14:textId="6E8DC399"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1" w:history="1">
        <w:r w:rsidRPr="006872AE">
          <w:rPr>
            <w:rStyle w:val="Hyperlink"/>
            <w:noProof/>
          </w:rPr>
          <w:t>Figure 16j. Cumulative share of modelled zero-dose children by number of LGAs targeted, both methods.</w:t>
        </w:r>
        <w:r>
          <w:rPr>
            <w:noProof/>
            <w:webHidden/>
          </w:rPr>
          <w:tab/>
        </w:r>
        <w:r>
          <w:rPr>
            <w:noProof/>
            <w:webHidden/>
          </w:rPr>
          <w:fldChar w:fldCharType="begin"/>
        </w:r>
        <w:r>
          <w:rPr>
            <w:noProof/>
            <w:webHidden/>
          </w:rPr>
          <w:instrText xml:space="preserve"> PAGEREF _Toc242408011 \h </w:instrText>
        </w:r>
        <w:r>
          <w:rPr>
            <w:noProof/>
            <w:webHidden/>
          </w:rPr>
        </w:r>
        <w:r>
          <w:rPr>
            <w:noProof/>
            <w:webHidden/>
          </w:rPr>
          <w:fldChar w:fldCharType="separate"/>
        </w:r>
        <w:r>
          <w:rPr>
            <w:noProof/>
            <w:webHidden/>
          </w:rPr>
          <w:t>42</w:t>
        </w:r>
        <w:r>
          <w:rPr>
            <w:noProof/>
            <w:webHidden/>
          </w:rPr>
          <w:fldChar w:fldCharType="end"/>
        </w:r>
      </w:hyperlink>
    </w:p>
    <w:p w14:paraId="131635B3" w14:textId="3B94D3D7"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2" w:history="1">
        <w:r w:rsidRPr="006872AE">
          <w:rPr>
            <w:rStyle w:val="Hyperlink"/>
            <w:noProof/>
          </w:rPr>
          <w:t>Figure 17. AFP case clustering, 2015–2025 (Bernoulli case-control spatial scan); one significant cluster on the north-eastern border.</w:t>
        </w:r>
        <w:r>
          <w:rPr>
            <w:noProof/>
            <w:webHidden/>
          </w:rPr>
          <w:tab/>
        </w:r>
        <w:r>
          <w:rPr>
            <w:noProof/>
            <w:webHidden/>
          </w:rPr>
          <w:fldChar w:fldCharType="begin"/>
        </w:r>
        <w:r>
          <w:rPr>
            <w:noProof/>
            <w:webHidden/>
          </w:rPr>
          <w:instrText xml:space="preserve"> PAGEREF _Toc242408012 \h </w:instrText>
        </w:r>
        <w:r>
          <w:rPr>
            <w:noProof/>
            <w:webHidden/>
          </w:rPr>
        </w:r>
        <w:r>
          <w:rPr>
            <w:noProof/>
            <w:webHidden/>
          </w:rPr>
          <w:fldChar w:fldCharType="separate"/>
        </w:r>
        <w:r>
          <w:rPr>
            <w:noProof/>
            <w:webHidden/>
          </w:rPr>
          <w:t>44</w:t>
        </w:r>
        <w:r>
          <w:rPr>
            <w:noProof/>
            <w:webHidden/>
          </w:rPr>
          <w:fldChar w:fldCharType="end"/>
        </w:r>
      </w:hyperlink>
    </w:p>
    <w:p w14:paraId="5616BCF0" w14:textId="41467B9C"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3" w:history="1">
        <w:r w:rsidRPr="006872AE">
          <w:rPr>
            <w:rStyle w:val="Hyperlink"/>
            <w:noProof/>
          </w:rPr>
          <w:t>Figure 18. Historical confirmed-polio cases and forecast to 2030; interruption threshold below one case per year.</w:t>
        </w:r>
        <w:r>
          <w:rPr>
            <w:noProof/>
            <w:webHidden/>
          </w:rPr>
          <w:tab/>
        </w:r>
        <w:r>
          <w:rPr>
            <w:noProof/>
            <w:webHidden/>
          </w:rPr>
          <w:fldChar w:fldCharType="begin"/>
        </w:r>
        <w:r>
          <w:rPr>
            <w:noProof/>
            <w:webHidden/>
          </w:rPr>
          <w:instrText xml:space="preserve"> PAGEREF _Toc242408013 \h </w:instrText>
        </w:r>
        <w:r>
          <w:rPr>
            <w:noProof/>
            <w:webHidden/>
          </w:rPr>
        </w:r>
        <w:r>
          <w:rPr>
            <w:noProof/>
            <w:webHidden/>
          </w:rPr>
          <w:fldChar w:fldCharType="separate"/>
        </w:r>
        <w:r>
          <w:rPr>
            <w:noProof/>
            <w:webHidden/>
          </w:rPr>
          <w:t>44</w:t>
        </w:r>
        <w:r>
          <w:rPr>
            <w:noProof/>
            <w:webHidden/>
          </w:rPr>
          <w:fldChar w:fldCharType="end"/>
        </w:r>
      </w:hyperlink>
    </w:p>
    <w:p w14:paraId="415B23C5" w14:textId="665E7482"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4" w:history="1">
        <w:r w:rsidRPr="006872AE">
          <w:rPr>
            <w:rStyle w:val="Hyperlink"/>
            <w:noProof/>
          </w:rPr>
          <w:t>Figure 19. Recurrence-free survival of confirmed polio cases against the WHO 36-month certification threshold.</w:t>
        </w:r>
        <w:r>
          <w:rPr>
            <w:noProof/>
            <w:webHidden/>
          </w:rPr>
          <w:tab/>
        </w:r>
        <w:r>
          <w:rPr>
            <w:noProof/>
            <w:webHidden/>
          </w:rPr>
          <w:fldChar w:fldCharType="begin"/>
        </w:r>
        <w:r>
          <w:rPr>
            <w:noProof/>
            <w:webHidden/>
          </w:rPr>
          <w:instrText xml:space="preserve"> PAGEREF _Toc242408014 \h </w:instrText>
        </w:r>
        <w:r>
          <w:rPr>
            <w:noProof/>
            <w:webHidden/>
          </w:rPr>
        </w:r>
        <w:r>
          <w:rPr>
            <w:noProof/>
            <w:webHidden/>
          </w:rPr>
          <w:fldChar w:fldCharType="separate"/>
        </w:r>
        <w:r>
          <w:rPr>
            <w:noProof/>
            <w:webHidden/>
          </w:rPr>
          <w:t>45</w:t>
        </w:r>
        <w:r>
          <w:rPr>
            <w:noProof/>
            <w:webHidden/>
          </w:rPr>
          <w:fldChar w:fldCharType="end"/>
        </w:r>
      </w:hyperlink>
    </w:p>
    <w:p w14:paraId="60781B93" w14:textId="6F3E3909"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5" w:history="1">
        <w:r w:rsidRPr="006872AE">
          <w:rPr>
            <w:rStyle w:val="Hyperlink"/>
            <w:noProof/>
          </w:rPr>
          <w:t>Figure 20. Surveillance-timeliness completion curves against WHO performance targets.</w:t>
        </w:r>
        <w:r>
          <w:rPr>
            <w:noProof/>
            <w:webHidden/>
          </w:rPr>
          <w:tab/>
        </w:r>
        <w:r>
          <w:rPr>
            <w:noProof/>
            <w:webHidden/>
          </w:rPr>
          <w:fldChar w:fldCharType="begin"/>
        </w:r>
        <w:r>
          <w:rPr>
            <w:noProof/>
            <w:webHidden/>
          </w:rPr>
          <w:instrText xml:space="preserve"> PAGEREF _Toc242408015 \h </w:instrText>
        </w:r>
        <w:r>
          <w:rPr>
            <w:noProof/>
            <w:webHidden/>
          </w:rPr>
        </w:r>
        <w:r>
          <w:rPr>
            <w:noProof/>
            <w:webHidden/>
          </w:rPr>
          <w:fldChar w:fldCharType="separate"/>
        </w:r>
        <w:r>
          <w:rPr>
            <w:noProof/>
            <w:webHidden/>
          </w:rPr>
          <w:t>45</w:t>
        </w:r>
        <w:r>
          <w:rPr>
            <w:noProof/>
            <w:webHidden/>
          </w:rPr>
          <w:fldChar w:fldCharType="end"/>
        </w:r>
      </w:hyperlink>
    </w:p>
    <w:p w14:paraId="7AC6BC87" w14:textId="5F4FEB91"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6" w:history="1">
        <w:r w:rsidRPr="006872AE">
          <w:rPr>
            <w:rStyle w:val="Hyperlink"/>
            <w:noProof/>
          </w:rPr>
          <w:t>Figures 21–22. Coverage-to-mortality hypothesis grid and the composite VPD outbreak-risk surface.</w:t>
        </w:r>
        <w:r>
          <w:rPr>
            <w:noProof/>
            <w:webHidden/>
          </w:rPr>
          <w:tab/>
        </w:r>
        <w:r>
          <w:rPr>
            <w:noProof/>
            <w:webHidden/>
          </w:rPr>
          <w:fldChar w:fldCharType="begin"/>
        </w:r>
        <w:r>
          <w:rPr>
            <w:noProof/>
            <w:webHidden/>
          </w:rPr>
          <w:instrText xml:space="preserve"> PAGEREF _Toc242408016 \h </w:instrText>
        </w:r>
        <w:r>
          <w:rPr>
            <w:noProof/>
            <w:webHidden/>
          </w:rPr>
        </w:r>
        <w:r>
          <w:rPr>
            <w:noProof/>
            <w:webHidden/>
          </w:rPr>
          <w:fldChar w:fldCharType="separate"/>
        </w:r>
        <w:r>
          <w:rPr>
            <w:noProof/>
            <w:webHidden/>
          </w:rPr>
          <w:t>46</w:t>
        </w:r>
        <w:r>
          <w:rPr>
            <w:noProof/>
            <w:webHidden/>
          </w:rPr>
          <w:fldChar w:fldCharType="end"/>
        </w:r>
      </w:hyperlink>
    </w:p>
    <w:p w14:paraId="353B76FD" w14:textId="475958EC"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7" w:history="1">
        <w:r w:rsidRPr="006872AE">
          <w:rPr>
            <w:rStyle w:val="Hyperlink"/>
            <w:noProof/>
          </w:rPr>
          <w:t>Figure 23. Triangulation: the vaccine-targeted mortality share tracks the zero-dose forecast (r = 0.87); the North-West forms the convergent-risk cluster.</w:t>
        </w:r>
        <w:r>
          <w:rPr>
            <w:noProof/>
            <w:webHidden/>
          </w:rPr>
          <w:tab/>
        </w:r>
        <w:r>
          <w:rPr>
            <w:noProof/>
            <w:webHidden/>
          </w:rPr>
          <w:fldChar w:fldCharType="begin"/>
        </w:r>
        <w:r>
          <w:rPr>
            <w:noProof/>
            <w:webHidden/>
          </w:rPr>
          <w:instrText xml:space="preserve"> PAGEREF _Toc242408017 \h </w:instrText>
        </w:r>
        <w:r>
          <w:rPr>
            <w:noProof/>
            <w:webHidden/>
          </w:rPr>
        </w:r>
        <w:r>
          <w:rPr>
            <w:noProof/>
            <w:webHidden/>
          </w:rPr>
          <w:fldChar w:fldCharType="separate"/>
        </w:r>
        <w:r>
          <w:rPr>
            <w:noProof/>
            <w:webHidden/>
          </w:rPr>
          <w:t>46</w:t>
        </w:r>
        <w:r>
          <w:rPr>
            <w:noProof/>
            <w:webHidden/>
          </w:rPr>
          <w:fldChar w:fldCharType="end"/>
        </w:r>
      </w:hyperlink>
    </w:p>
    <w:p w14:paraId="455089C6" w14:textId="46FD4B6D"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8" w:history="1">
        <w:r w:rsidRPr="006872AE">
          <w:rPr>
            <w:rStyle w:val="Hyperlink"/>
            <w:noProof/>
          </w:rPr>
          <w:t>Figure 24. The predictive modelling platform: secure sign-in to the live Hugging Face deployment operated by the Digital Innovation Hub.</w:t>
        </w:r>
        <w:r>
          <w:rPr>
            <w:noProof/>
            <w:webHidden/>
          </w:rPr>
          <w:tab/>
        </w:r>
        <w:r>
          <w:rPr>
            <w:noProof/>
            <w:webHidden/>
          </w:rPr>
          <w:fldChar w:fldCharType="begin"/>
        </w:r>
        <w:r>
          <w:rPr>
            <w:noProof/>
            <w:webHidden/>
          </w:rPr>
          <w:instrText xml:space="preserve"> PAGEREF _Toc242408018 \h </w:instrText>
        </w:r>
        <w:r>
          <w:rPr>
            <w:noProof/>
            <w:webHidden/>
          </w:rPr>
        </w:r>
        <w:r>
          <w:rPr>
            <w:noProof/>
            <w:webHidden/>
          </w:rPr>
          <w:fldChar w:fldCharType="separate"/>
        </w:r>
        <w:r>
          <w:rPr>
            <w:noProof/>
            <w:webHidden/>
          </w:rPr>
          <w:t>48</w:t>
        </w:r>
        <w:r>
          <w:rPr>
            <w:noProof/>
            <w:webHidden/>
          </w:rPr>
          <w:fldChar w:fldCharType="end"/>
        </w:r>
      </w:hyperlink>
    </w:p>
    <w:p w14:paraId="3DC23DCE" w14:textId="7E88927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19" w:history="1">
        <w:r w:rsidRPr="006872AE">
          <w:rPr>
            <w:rStyle w:val="Hyperlink"/>
            <w:noProof/>
          </w:rPr>
          <w:t>Figure 25. Prospective validation: the 2026 Method 1 state forecasts against the NmDHS 2025-26 survey, 37 states (ρ = 0.89).</w:t>
        </w:r>
        <w:r>
          <w:rPr>
            <w:noProof/>
            <w:webHidden/>
          </w:rPr>
          <w:tab/>
        </w:r>
        <w:r>
          <w:rPr>
            <w:noProof/>
            <w:webHidden/>
          </w:rPr>
          <w:fldChar w:fldCharType="begin"/>
        </w:r>
        <w:r>
          <w:rPr>
            <w:noProof/>
            <w:webHidden/>
          </w:rPr>
          <w:instrText xml:space="preserve"> PAGEREF _Toc242408019 \h </w:instrText>
        </w:r>
        <w:r>
          <w:rPr>
            <w:noProof/>
            <w:webHidden/>
          </w:rPr>
        </w:r>
        <w:r>
          <w:rPr>
            <w:noProof/>
            <w:webHidden/>
          </w:rPr>
          <w:fldChar w:fldCharType="separate"/>
        </w:r>
        <w:r>
          <w:rPr>
            <w:noProof/>
            <w:webHidden/>
          </w:rPr>
          <w:t>48</w:t>
        </w:r>
        <w:r>
          <w:rPr>
            <w:noProof/>
            <w:webHidden/>
          </w:rPr>
          <w:fldChar w:fldCharType="end"/>
        </w:r>
      </w:hyperlink>
    </w:p>
    <w:p w14:paraId="5FC9EF9C" w14:textId="3BF52293"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20" w:history="1">
        <w:r w:rsidRPr="006872AE">
          <w:rPr>
            <w:rStyle w:val="Hyperlink"/>
            <w:noProof/>
          </w:rPr>
          <w:t>Figure 26. Convergent validity: the 2026 Method 1 LGA estimates against the IHME Local Burden of Disease DTP1 surface (ρ = 0.65).</w:t>
        </w:r>
        <w:r>
          <w:rPr>
            <w:noProof/>
            <w:webHidden/>
          </w:rPr>
          <w:tab/>
        </w:r>
        <w:r>
          <w:rPr>
            <w:noProof/>
            <w:webHidden/>
          </w:rPr>
          <w:fldChar w:fldCharType="begin"/>
        </w:r>
        <w:r>
          <w:rPr>
            <w:noProof/>
            <w:webHidden/>
          </w:rPr>
          <w:instrText xml:space="preserve"> PAGEREF _Toc242408020 \h </w:instrText>
        </w:r>
        <w:r>
          <w:rPr>
            <w:noProof/>
            <w:webHidden/>
          </w:rPr>
        </w:r>
        <w:r>
          <w:rPr>
            <w:noProof/>
            <w:webHidden/>
          </w:rPr>
          <w:fldChar w:fldCharType="separate"/>
        </w:r>
        <w:r>
          <w:rPr>
            <w:noProof/>
            <w:webHidden/>
          </w:rPr>
          <w:t>49</w:t>
        </w:r>
        <w:r>
          <w:rPr>
            <w:noProof/>
            <w:webHidden/>
          </w:rPr>
          <w:fldChar w:fldCharType="end"/>
        </w:r>
      </w:hyperlink>
    </w:p>
    <w:p w14:paraId="60FA2377" w14:textId="0CDC8C2D"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21" w:history="1">
        <w:r w:rsidRPr="006872AE">
          <w:rPr>
            <w:rStyle w:val="Hyperlink"/>
            <w:noProof/>
          </w:rPr>
          <w:t>Figure 26b. Spearman rank correlation of each Domain 5 method with independent data: NmDHS 2025-26 (states) and IHME 2018 (LGAs, overall and within state).</w:t>
        </w:r>
        <w:r>
          <w:rPr>
            <w:noProof/>
            <w:webHidden/>
          </w:rPr>
          <w:tab/>
        </w:r>
        <w:r>
          <w:rPr>
            <w:noProof/>
            <w:webHidden/>
          </w:rPr>
          <w:fldChar w:fldCharType="begin"/>
        </w:r>
        <w:r>
          <w:rPr>
            <w:noProof/>
            <w:webHidden/>
          </w:rPr>
          <w:instrText xml:space="preserve"> PAGEREF _Toc242408021 \h </w:instrText>
        </w:r>
        <w:r>
          <w:rPr>
            <w:noProof/>
            <w:webHidden/>
          </w:rPr>
        </w:r>
        <w:r>
          <w:rPr>
            <w:noProof/>
            <w:webHidden/>
          </w:rPr>
          <w:fldChar w:fldCharType="separate"/>
        </w:r>
        <w:r>
          <w:rPr>
            <w:noProof/>
            <w:webHidden/>
          </w:rPr>
          <w:t>50</w:t>
        </w:r>
        <w:r>
          <w:rPr>
            <w:noProof/>
            <w:webHidden/>
          </w:rPr>
          <w:fldChar w:fldCharType="end"/>
        </w:r>
      </w:hyperlink>
    </w:p>
    <w:p w14:paraId="772F665E" w14:textId="36B8F01B" w:rsidR="009D346F" w:rsidRDefault="009D346F">
      <w:pPr>
        <w:pStyle w:val="TableofFigures"/>
        <w:tabs>
          <w:tab w:val="right" w:leader="dot" w:pos="9016"/>
        </w:tabs>
        <w:rPr>
          <w:rFonts w:eastAsiaTheme="minorEastAsia" w:cstheme="minorBidi"/>
          <w:smallCaps w:val="0"/>
          <w:noProof/>
          <w:kern w:val="2"/>
          <w:sz w:val="24"/>
          <w:szCs w:val="24"/>
          <w14:ligatures w14:val="standardContextual"/>
        </w:rPr>
      </w:pPr>
      <w:hyperlink w:anchor="_Toc242408022" w:history="1">
        <w:r w:rsidRPr="006872AE">
          <w:rPr>
            <w:rStyle w:val="Hyperlink"/>
            <w:noProof/>
          </w:rPr>
          <w:t>Figure 27: Study States</w:t>
        </w:r>
        <w:r>
          <w:rPr>
            <w:noProof/>
            <w:webHidden/>
          </w:rPr>
          <w:tab/>
        </w:r>
        <w:r>
          <w:rPr>
            <w:noProof/>
            <w:webHidden/>
          </w:rPr>
          <w:fldChar w:fldCharType="begin"/>
        </w:r>
        <w:r>
          <w:rPr>
            <w:noProof/>
            <w:webHidden/>
          </w:rPr>
          <w:instrText xml:space="preserve"> PAGEREF _Toc242408022 \h </w:instrText>
        </w:r>
        <w:r>
          <w:rPr>
            <w:noProof/>
            <w:webHidden/>
          </w:rPr>
        </w:r>
        <w:r>
          <w:rPr>
            <w:noProof/>
            <w:webHidden/>
          </w:rPr>
          <w:fldChar w:fldCharType="separate"/>
        </w:r>
        <w:r>
          <w:rPr>
            <w:noProof/>
            <w:webHidden/>
          </w:rPr>
          <w:t>51</w:t>
        </w:r>
        <w:r>
          <w:rPr>
            <w:noProof/>
            <w:webHidden/>
          </w:rPr>
          <w:fldChar w:fldCharType="end"/>
        </w:r>
      </w:hyperlink>
    </w:p>
    <w:p w14:paraId="3DF46DDD" w14:textId="707711B1" w:rsidR="00A96232" w:rsidRPr="00374D49" w:rsidRDefault="00A96232" w:rsidP="00311456">
      <w:pPr>
        <w:rPr>
          <w:rFonts w:cs="Times New Roman"/>
        </w:rPr>
      </w:pPr>
      <w:r>
        <w:rPr>
          <w:rFonts w:cs="Times New Roman"/>
        </w:rPr>
        <w:fldChar w:fldCharType="end"/>
      </w:r>
    </w:p>
    <w:p w14:paraId="6BAE164F" w14:textId="64FCD44D" w:rsidR="00722494" w:rsidRPr="00374D49" w:rsidRDefault="00722494" w:rsidP="00443C3C">
      <w:pPr>
        <w:pStyle w:val="Heading1"/>
      </w:pPr>
      <w:bookmarkStart w:id="1" w:name="_Toc242407898"/>
      <w:r>
        <w:t>List of Abbreviations</w:t>
      </w:r>
      <w:bookmarkEnd w:id="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3201"/>
        <w:gridCol w:w="1121"/>
        <w:gridCol w:w="3608"/>
      </w:tblGrid>
      <w:tr w:rsidR="00443C3C" w:rsidRPr="00374D49" w14:paraId="22F9AA8D" w14:textId="77777777">
        <w:trPr>
          <w:cantSplit/>
          <w:tblHeader/>
          <w:tblCellSpacing w:w="15" w:type="dxa"/>
        </w:trPr>
        <w:tc>
          <w:tcPr>
            <w:tcW w:w="0" w:type="auto"/>
            <w:vAlign w:val="center"/>
            <w:hideMark/>
          </w:tcPr>
          <w:p w14:paraId="30DBCD0F"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7B568DB7"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c>
          <w:tcPr>
            <w:tcW w:w="0" w:type="auto"/>
            <w:vAlign w:val="center"/>
            <w:hideMark/>
          </w:tcPr>
          <w:p w14:paraId="42879A72"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Abbreviation</w:t>
            </w:r>
          </w:p>
        </w:tc>
        <w:tc>
          <w:tcPr>
            <w:tcW w:w="0" w:type="auto"/>
            <w:vAlign w:val="center"/>
            <w:hideMark/>
          </w:tcPr>
          <w:p w14:paraId="673CCFB8" w14:textId="77777777" w:rsidR="00443C3C" w:rsidRPr="00374D49" w:rsidRDefault="00443C3C" w:rsidP="00443C3C">
            <w:pPr>
              <w:spacing w:after="0" w:line="240" w:lineRule="auto"/>
              <w:jc w:val="center"/>
              <w:rPr>
                <w:rFonts w:eastAsia="Times New Roman" w:cs="Times New Roman"/>
                <w:b/>
                <w:bCs/>
                <w:sz w:val="18"/>
                <w:szCs w:val="18"/>
                <w:lang w:eastAsia="en-GB"/>
              </w:rPr>
            </w:pPr>
            <w:r>
              <w:rPr>
                <w:rFonts w:eastAsia="Times New Roman" w:cs="Times New Roman"/>
                <w:b/>
                <w:bCs/>
                <w:sz w:val="18"/>
                <w:szCs w:val="18"/>
                <w:lang w:eastAsia="en-GB"/>
              </w:rPr>
              <w:t>Meaning</w:t>
            </w:r>
          </w:p>
        </w:tc>
      </w:tr>
      <w:tr w:rsidR="00443C3C" w:rsidRPr="00374D49" w14:paraId="09973374" w14:textId="77777777">
        <w:trPr>
          <w:cantSplit/>
          <w:tblCellSpacing w:w="15" w:type="dxa"/>
        </w:trPr>
        <w:tc>
          <w:tcPr>
            <w:tcW w:w="0" w:type="auto"/>
            <w:vAlign w:val="center"/>
            <w:hideMark/>
          </w:tcPr>
          <w:p w14:paraId="5F109B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ACSM</w:t>
            </w:r>
          </w:p>
        </w:tc>
        <w:tc>
          <w:tcPr>
            <w:tcW w:w="0" w:type="auto"/>
            <w:vAlign w:val="center"/>
            <w:hideMark/>
          </w:tcPr>
          <w:p w14:paraId="1B2A1A6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Advocacy, Communication and Social Mobilisation</w:t>
            </w:r>
          </w:p>
        </w:tc>
        <w:tc>
          <w:tcPr>
            <w:tcW w:w="0" w:type="auto"/>
            <w:vAlign w:val="center"/>
            <w:hideMark/>
          </w:tcPr>
          <w:p w14:paraId="39447F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AFP</w:t>
            </w:r>
          </w:p>
        </w:tc>
        <w:tc>
          <w:tcPr>
            <w:tcW w:w="0" w:type="auto"/>
            <w:vAlign w:val="center"/>
            <w:hideMark/>
          </w:tcPr>
          <w:p w14:paraId="13D9121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Acute Flaccid Paralysis</w:t>
            </w:r>
          </w:p>
        </w:tc>
      </w:tr>
      <w:tr w:rsidR="00443C3C" w:rsidRPr="00374D49" w14:paraId="44965081" w14:textId="77777777">
        <w:trPr>
          <w:cantSplit/>
          <w:tblCellSpacing w:w="15" w:type="dxa"/>
        </w:trPr>
        <w:tc>
          <w:tcPr>
            <w:tcW w:w="0" w:type="auto"/>
            <w:vAlign w:val="center"/>
            <w:hideMark/>
          </w:tcPr>
          <w:p w14:paraId="089DA6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w:t>
            </w:r>
          </w:p>
        </w:tc>
        <w:tc>
          <w:tcPr>
            <w:tcW w:w="0" w:type="auto"/>
            <w:vAlign w:val="center"/>
            <w:hideMark/>
          </w:tcPr>
          <w:p w14:paraId="231239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Artificial Intelligence</w:t>
            </w:r>
          </w:p>
        </w:tc>
        <w:tc>
          <w:tcPr>
            <w:tcW w:w="0" w:type="auto"/>
            <w:vAlign w:val="center"/>
            <w:hideMark/>
          </w:tcPr>
          <w:p w14:paraId="0D3902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AICc</w:t>
            </w:r>
          </w:p>
        </w:tc>
        <w:tc>
          <w:tcPr>
            <w:tcW w:w="0" w:type="auto"/>
            <w:vAlign w:val="center"/>
            <w:hideMark/>
          </w:tcPr>
          <w:p w14:paraId="5F15060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Corrected Akaike Information Criterion</w:t>
            </w:r>
          </w:p>
        </w:tc>
      </w:tr>
      <w:tr w:rsidR="00443C3C" w:rsidRPr="00374D49" w14:paraId="40447201" w14:textId="77777777">
        <w:trPr>
          <w:cantSplit/>
          <w:tblCellSpacing w:w="15" w:type="dxa"/>
        </w:trPr>
        <w:tc>
          <w:tcPr>
            <w:tcW w:w="0" w:type="auto"/>
            <w:vAlign w:val="center"/>
            <w:hideMark/>
          </w:tcPr>
          <w:p w14:paraId="559B4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lastRenderedPageBreak/>
              <w:t>AMAC</w:t>
            </w:r>
          </w:p>
        </w:tc>
        <w:tc>
          <w:tcPr>
            <w:tcW w:w="0" w:type="auto"/>
            <w:vAlign w:val="center"/>
            <w:hideMark/>
          </w:tcPr>
          <w:p w14:paraId="407F088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Abuja Municipal Area Council</w:t>
            </w:r>
          </w:p>
        </w:tc>
        <w:tc>
          <w:tcPr>
            <w:tcW w:w="0" w:type="auto"/>
            <w:vAlign w:val="center"/>
            <w:hideMark/>
          </w:tcPr>
          <w:p w14:paraId="6476F8F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ANC</w:t>
            </w:r>
          </w:p>
        </w:tc>
        <w:tc>
          <w:tcPr>
            <w:tcW w:w="0" w:type="auto"/>
            <w:vAlign w:val="center"/>
            <w:hideMark/>
          </w:tcPr>
          <w:p w14:paraId="433AC28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Antenatal Care</w:t>
            </w:r>
          </w:p>
        </w:tc>
      </w:tr>
      <w:tr w:rsidR="00443C3C" w:rsidRPr="00374D49" w14:paraId="338D89F2" w14:textId="77777777">
        <w:trPr>
          <w:cantSplit/>
          <w:tblCellSpacing w:w="15" w:type="dxa"/>
        </w:trPr>
        <w:tc>
          <w:tcPr>
            <w:tcW w:w="0" w:type="auto"/>
            <w:vAlign w:val="center"/>
            <w:hideMark/>
          </w:tcPr>
          <w:p w14:paraId="1CD6717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BCG</w:t>
            </w:r>
          </w:p>
        </w:tc>
        <w:tc>
          <w:tcPr>
            <w:tcW w:w="0" w:type="auto"/>
            <w:vAlign w:val="center"/>
            <w:hideMark/>
          </w:tcPr>
          <w:p w14:paraId="69CBF20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Bacille Calmette-Guérin vaccine</w:t>
            </w:r>
          </w:p>
        </w:tc>
        <w:tc>
          <w:tcPr>
            <w:tcW w:w="0" w:type="auto"/>
            <w:vAlign w:val="center"/>
            <w:hideMark/>
          </w:tcPr>
          <w:p w14:paraId="5010731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BI</w:t>
            </w:r>
          </w:p>
        </w:tc>
        <w:tc>
          <w:tcPr>
            <w:tcW w:w="0" w:type="auto"/>
            <w:vAlign w:val="center"/>
            <w:hideMark/>
          </w:tcPr>
          <w:p w14:paraId="221C52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Business Intelligence</w:t>
            </w:r>
          </w:p>
        </w:tc>
      </w:tr>
      <w:tr w:rsidR="00443C3C" w:rsidRPr="00374D49" w14:paraId="73666A0D" w14:textId="77777777">
        <w:trPr>
          <w:cantSplit/>
          <w:tblCellSpacing w:w="15" w:type="dxa"/>
        </w:trPr>
        <w:tc>
          <w:tcPr>
            <w:tcW w:w="0" w:type="auto"/>
            <w:vAlign w:val="center"/>
            <w:hideMark/>
          </w:tcPr>
          <w:p w14:paraId="57F1D1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w:t>
            </w:r>
          </w:p>
        </w:tc>
        <w:tc>
          <w:tcPr>
            <w:tcW w:w="0" w:type="auto"/>
            <w:vAlign w:val="center"/>
            <w:hideMark/>
          </w:tcPr>
          <w:p w14:paraId="72EE764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Composite Hesitancy Index</w:t>
            </w:r>
          </w:p>
        </w:tc>
        <w:tc>
          <w:tcPr>
            <w:tcW w:w="0" w:type="auto"/>
            <w:vAlign w:val="center"/>
            <w:hideMark/>
          </w:tcPr>
          <w:p w14:paraId="413D753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CHIPS</w:t>
            </w:r>
          </w:p>
        </w:tc>
        <w:tc>
          <w:tcPr>
            <w:tcW w:w="0" w:type="auto"/>
            <w:vAlign w:val="center"/>
            <w:hideMark/>
          </w:tcPr>
          <w:p w14:paraId="6DC6819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Community Health Influencers, Promoters and Services</w:t>
            </w:r>
          </w:p>
        </w:tc>
      </w:tr>
      <w:tr w:rsidR="00443C3C" w:rsidRPr="00374D49" w14:paraId="75ADF4D0" w14:textId="77777777">
        <w:trPr>
          <w:cantSplit/>
          <w:tblCellSpacing w:w="15" w:type="dxa"/>
        </w:trPr>
        <w:tc>
          <w:tcPr>
            <w:tcW w:w="0" w:type="auto"/>
            <w:vAlign w:val="center"/>
            <w:hideMark/>
          </w:tcPr>
          <w:p w14:paraId="3AFF59A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CI</w:t>
            </w:r>
          </w:p>
        </w:tc>
        <w:tc>
          <w:tcPr>
            <w:tcW w:w="0" w:type="auto"/>
            <w:vAlign w:val="center"/>
            <w:hideMark/>
          </w:tcPr>
          <w:p w14:paraId="711F28E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Confidence Interval or Credible Interval, as applicable</w:t>
            </w:r>
          </w:p>
        </w:tc>
        <w:tc>
          <w:tcPr>
            <w:tcW w:w="0" w:type="auto"/>
            <w:vAlign w:val="center"/>
            <w:hideMark/>
          </w:tcPr>
          <w:p w14:paraId="5371A3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COVID-19</w:t>
            </w:r>
          </w:p>
        </w:tc>
        <w:tc>
          <w:tcPr>
            <w:tcW w:w="0" w:type="auto"/>
            <w:vAlign w:val="center"/>
            <w:hideMark/>
          </w:tcPr>
          <w:p w14:paraId="499F0C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Coronavirus Disease 2019</w:t>
            </w:r>
          </w:p>
        </w:tc>
      </w:tr>
      <w:tr w:rsidR="00443C3C" w:rsidRPr="00374D49" w14:paraId="3C821DA9" w14:textId="77777777">
        <w:trPr>
          <w:cantSplit/>
          <w:tblCellSpacing w:w="15" w:type="dxa"/>
        </w:trPr>
        <w:tc>
          <w:tcPr>
            <w:tcW w:w="0" w:type="auto"/>
            <w:vAlign w:val="center"/>
            <w:hideMark/>
          </w:tcPr>
          <w:p w14:paraId="2D95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DHIS2</w:t>
            </w:r>
          </w:p>
        </w:tc>
        <w:tc>
          <w:tcPr>
            <w:tcW w:w="0" w:type="auto"/>
            <w:vAlign w:val="center"/>
            <w:hideMark/>
          </w:tcPr>
          <w:p w14:paraId="6664AE8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District Health Information Software 2</w:t>
            </w:r>
          </w:p>
        </w:tc>
        <w:tc>
          <w:tcPr>
            <w:tcW w:w="0" w:type="auto"/>
            <w:vAlign w:val="center"/>
            <w:hideMark/>
          </w:tcPr>
          <w:p w14:paraId="3F8956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DIH</w:t>
            </w:r>
          </w:p>
        </w:tc>
        <w:tc>
          <w:tcPr>
            <w:tcW w:w="0" w:type="auto"/>
            <w:vAlign w:val="center"/>
            <w:hideMark/>
          </w:tcPr>
          <w:p w14:paraId="12CC23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Digital Innovation Hub</w:t>
            </w:r>
          </w:p>
        </w:tc>
      </w:tr>
      <w:tr w:rsidR="00443C3C" w:rsidRPr="00374D49" w14:paraId="64028E31" w14:textId="77777777">
        <w:trPr>
          <w:cantSplit/>
          <w:tblCellSpacing w:w="15" w:type="dxa"/>
        </w:trPr>
        <w:tc>
          <w:tcPr>
            <w:tcW w:w="0" w:type="auto"/>
            <w:vAlign w:val="center"/>
            <w:hideMark/>
          </w:tcPr>
          <w:p w14:paraId="66B8A67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w:t>
            </w:r>
          </w:p>
        </w:tc>
        <w:tc>
          <w:tcPr>
            <w:tcW w:w="0" w:type="auto"/>
            <w:vAlign w:val="center"/>
            <w:hideMark/>
          </w:tcPr>
          <w:p w14:paraId="54D848A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Diphtheria-Tetanus-Pertussis</w:t>
            </w:r>
          </w:p>
        </w:tc>
        <w:tc>
          <w:tcPr>
            <w:tcW w:w="0" w:type="auto"/>
            <w:vAlign w:val="center"/>
            <w:hideMark/>
          </w:tcPr>
          <w:p w14:paraId="086710F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DTP1</w:t>
            </w:r>
          </w:p>
        </w:tc>
        <w:tc>
          <w:tcPr>
            <w:tcW w:w="0" w:type="auto"/>
            <w:vAlign w:val="center"/>
            <w:hideMark/>
          </w:tcPr>
          <w:p w14:paraId="7501E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a DTP-containing vaccine</w:t>
            </w:r>
          </w:p>
        </w:tc>
      </w:tr>
      <w:tr w:rsidR="00443C3C" w:rsidRPr="00374D49" w14:paraId="7C6A0B81" w14:textId="77777777">
        <w:trPr>
          <w:cantSplit/>
          <w:tblCellSpacing w:w="15" w:type="dxa"/>
        </w:trPr>
        <w:tc>
          <w:tcPr>
            <w:tcW w:w="0" w:type="auto"/>
            <w:vAlign w:val="center"/>
            <w:hideMark/>
          </w:tcPr>
          <w:p w14:paraId="5115D8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DTP3</w:t>
            </w:r>
          </w:p>
        </w:tc>
        <w:tc>
          <w:tcPr>
            <w:tcW w:w="0" w:type="auto"/>
            <w:vAlign w:val="center"/>
            <w:hideMark/>
          </w:tcPr>
          <w:p w14:paraId="4E16D3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a DTP-containing vaccine</w:t>
            </w:r>
          </w:p>
        </w:tc>
        <w:tc>
          <w:tcPr>
            <w:tcW w:w="0" w:type="auto"/>
            <w:vAlign w:val="center"/>
            <w:hideMark/>
          </w:tcPr>
          <w:p w14:paraId="5CBE345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ECHIS/eCHIS</w:t>
            </w:r>
          </w:p>
        </w:tc>
        <w:tc>
          <w:tcPr>
            <w:tcW w:w="0" w:type="auto"/>
            <w:vAlign w:val="center"/>
            <w:hideMark/>
          </w:tcPr>
          <w:p w14:paraId="07EBCE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Community Health Information System</w:t>
            </w:r>
          </w:p>
        </w:tc>
      </w:tr>
      <w:tr w:rsidR="00443C3C" w:rsidRPr="00374D49" w14:paraId="1FF7410A" w14:textId="77777777">
        <w:trPr>
          <w:cantSplit/>
          <w:tblCellSpacing w:w="15" w:type="dxa"/>
        </w:trPr>
        <w:tc>
          <w:tcPr>
            <w:tcW w:w="0" w:type="auto"/>
            <w:vAlign w:val="center"/>
            <w:hideMark/>
          </w:tcPr>
          <w:p w14:paraId="0B483D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EMR</w:t>
            </w:r>
          </w:p>
        </w:tc>
        <w:tc>
          <w:tcPr>
            <w:tcW w:w="0" w:type="auto"/>
            <w:vAlign w:val="center"/>
            <w:hideMark/>
          </w:tcPr>
          <w:p w14:paraId="6D5B698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Electronic Medical Record</w:t>
            </w:r>
          </w:p>
        </w:tc>
        <w:tc>
          <w:tcPr>
            <w:tcW w:w="0" w:type="auto"/>
            <w:vAlign w:val="center"/>
            <w:hideMark/>
          </w:tcPr>
          <w:p w14:paraId="66ED1E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EPI</w:t>
            </w:r>
          </w:p>
        </w:tc>
        <w:tc>
          <w:tcPr>
            <w:tcW w:w="0" w:type="auto"/>
            <w:vAlign w:val="center"/>
            <w:hideMark/>
          </w:tcPr>
          <w:p w14:paraId="31C2F9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Expanded Programme on Immunization</w:t>
            </w:r>
          </w:p>
        </w:tc>
      </w:tr>
      <w:tr w:rsidR="00443C3C" w:rsidRPr="00374D49" w14:paraId="0A67C357" w14:textId="77777777">
        <w:trPr>
          <w:cantSplit/>
          <w:tblCellSpacing w:w="15" w:type="dxa"/>
        </w:trPr>
        <w:tc>
          <w:tcPr>
            <w:tcW w:w="0" w:type="auto"/>
            <w:vAlign w:val="center"/>
            <w:hideMark/>
          </w:tcPr>
          <w:p w14:paraId="6B86DC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EVM</w:t>
            </w:r>
          </w:p>
        </w:tc>
        <w:tc>
          <w:tcPr>
            <w:tcW w:w="0" w:type="auto"/>
            <w:vAlign w:val="center"/>
            <w:hideMark/>
          </w:tcPr>
          <w:p w14:paraId="2FBC3EE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Effective Vaccine Management</w:t>
            </w:r>
          </w:p>
        </w:tc>
        <w:tc>
          <w:tcPr>
            <w:tcW w:w="0" w:type="auto"/>
            <w:vAlign w:val="center"/>
            <w:hideMark/>
          </w:tcPr>
          <w:p w14:paraId="63C5A12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FCT</w:t>
            </w:r>
          </w:p>
        </w:tc>
        <w:tc>
          <w:tcPr>
            <w:tcW w:w="0" w:type="auto"/>
            <w:vAlign w:val="center"/>
            <w:hideMark/>
          </w:tcPr>
          <w:p w14:paraId="2FC3ECF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Federal Capital Territory</w:t>
            </w:r>
          </w:p>
        </w:tc>
      </w:tr>
      <w:tr w:rsidR="00443C3C" w:rsidRPr="00374D49" w14:paraId="2DCDF75E" w14:textId="77777777">
        <w:trPr>
          <w:cantSplit/>
          <w:tblCellSpacing w:w="15" w:type="dxa"/>
        </w:trPr>
        <w:tc>
          <w:tcPr>
            <w:tcW w:w="0" w:type="auto"/>
            <w:vAlign w:val="center"/>
            <w:hideMark/>
          </w:tcPr>
          <w:p w14:paraId="49BD85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FDR</w:t>
            </w:r>
          </w:p>
        </w:tc>
        <w:tc>
          <w:tcPr>
            <w:tcW w:w="0" w:type="auto"/>
            <w:vAlign w:val="center"/>
            <w:hideMark/>
          </w:tcPr>
          <w:p w14:paraId="06C1B40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False Discovery Rate</w:t>
            </w:r>
          </w:p>
        </w:tc>
        <w:tc>
          <w:tcPr>
            <w:tcW w:w="0" w:type="auto"/>
            <w:vAlign w:val="center"/>
            <w:hideMark/>
          </w:tcPr>
          <w:p w14:paraId="502351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w:t>
            </w:r>
          </w:p>
        </w:tc>
        <w:tc>
          <w:tcPr>
            <w:tcW w:w="0" w:type="auto"/>
            <w:vAlign w:val="center"/>
            <w:hideMark/>
          </w:tcPr>
          <w:p w14:paraId="75F0B1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Gavi, the Vaccine Alliance</w:t>
            </w:r>
          </w:p>
        </w:tc>
      </w:tr>
      <w:tr w:rsidR="00443C3C" w:rsidRPr="00374D49" w14:paraId="18458C21" w14:textId="77777777">
        <w:trPr>
          <w:cantSplit/>
          <w:tblCellSpacing w:w="15" w:type="dxa"/>
        </w:trPr>
        <w:tc>
          <w:tcPr>
            <w:tcW w:w="0" w:type="auto"/>
            <w:vAlign w:val="center"/>
            <w:hideMark/>
          </w:tcPr>
          <w:p w14:paraId="51978D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GBD</w:t>
            </w:r>
          </w:p>
        </w:tc>
        <w:tc>
          <w:tcPr>
            <w:tcW w:w="0" w:type="auto"/>
            <w:vAlign w:val="center"/>
            <w:hideMark/>
          </w:tcPr>
          <w:p w14:paraId="3E1530C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Global Burden of Disease</w:t>
            </w:r>
          </w:p>
        </w:tc>
        <w:tc>
          <w:tcPr>
            <w:tcW w:w="0" w:type="auto"/>
            <w:vAlign w:val="center"/>
            <w:hideMark/>
          </w:tcPr>
          <w:p w14:paraId="4DFDC9D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Gi*</w:t>
            </w:r>
          </w:p>
        </w:tc>
        <w:tc>
          <w:tcPr>
            <w:tcW w:w="0" w:type="auto"/>
            <w:vAlign w:val="center"/>
            <w:hideMark/>
          </w:tcPr>
          <w:p w14:paraId="1C342A4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Getis-Ord Gi* hotspot statistic</w:t>
            </w:r>
          </w:p>
        </w:tc>
      </w:tr>
      <w:tr w:rsidR="00443C3C" w:rsidRPr="00374D49" w14:paraId="0651BDF4" w14:textId="77777777">
        <w:trPr>
          <w:cantSplit/>
          <w:tblCellSpacing w:w="15" w:type="dxa"/>
        </w:trPr>
        <w:tc>
          <w:tcPr>
            <w:tcW w:w="0" w:type="auto"/>
            <w:vAlign w:val="center"/>
            <w:hideMark/>
          </w:tcPr>
          <w:p w14:paraId="3F1D8E4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GLM</w:t>
            </w:r>
          </w:p>
        </w:tc>
        <w:tc>
          <w:tcPr>
            <w:tcW w:w="0" w:type="auto"/>
            <w:vAlign w:val="center"/>
            <w:hideMark/>
          </w:tcPr>
          <w:p w14:paraId="6BE80D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Generalized Linear Model</w:t>
            </w:r>
          </w:p>
        </w:tc>
        <w:tc>
          <w:tcPr>
            <w:tcW w:w="0" w:type="auto"/>
            <w:vAlign w:val="center"/>
            <w:hideMark/>
          </w:tcPr>
          <w:p w14:paraId="4065C99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GRID3</w:t>
            </w:r>
          </w:p>
        </w:tc>
        <w:tc>
          <w:tcPr>
            <w:tcW w:w="0" w:type="auto"/>
            <w:vAlign w:val="center"/>
            <w:hideMark/>
          </w:tcPr>
          <w:p w14:paraId="1BF44D9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Geo-Referenced Infrastructure and Demographic Data for Development</w:t>
            </w:r>
          </w:p>
        </w:tc>
      </w:tr>
      <w:tr w:rsidR="00443C3C" w:rsidRPr="00374D49" w14:paraId="2093C914" w14:textId="77777777">
        <w:trPr>
          <w:cantSplit/>
          <w:tblCellSpacing w:w="15" w:type="dxa"/>
        </w:trPr>
        <w:tc>
          <w:tcPr>
            <w:tcW w:w="0" w:type="auto"/>
            <w:vAlign w:val="center"/>
            <w:hideMark/>
          </w:tcPr>
          <w:p w14:paraId="08F0E5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GWR</w:t>
            </w:r>
          </w:p>
        </w:tc>
        <w:tc>
          <w:tcPr>
            <w:tcW w:w="0" w:type="auto"/>
            <w:vAlign w:val="center"/>
            <w:hideMark/>
          </w:tcPr>
          <w:p w14:paraId="1C94B74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Geographically Weighted Regression</w:t>
            </w:r>
          </w:p>
        </w:tc>
        <w:tc>
          <w:tcPr>
            <w:tcW w:w="0" w:type="auto"/>
            <w:vAlign w:val="center"/>
            <w:hideMark/>
          </w:tcPr>
          <w:p w14:paraId="104807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HMIS</w:t>
            </w:r>
          </w:p>
        </w:tc>
        <w:tc>
          <w:tcPr>
            <w:tcW w:w="0" w:type="auto"/>
            <w:vAlign w:val="center"/>
            <w:hideMark/>
          </w:tcPr>
          <w:p w14:paraId="364217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Health Management Information System</w:t>
            </w:r>
          </w:p>
        </w:tc>
      </w:tr>
      <w:tr w:rsidR="00443C3C" w:rsidRPr="00374D49" w14:paraId="745901AB" w14:textId="77777777">
        <w:trPr>
          <w:cantSplit/>
          <w:tblCellSpacing w:w="15" w:type="dxa"/>
        </w:trPr>
        <w:tc>
          <w:tcPr>
            <w:tcW w:w="0" w:type="auto"/>
            <w:vAlign w:val="center"/>
            <w:hideMark/>
          </w:tcPr>
          <w:p w14:paraId="6095CDB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HTR</w:t>
            </w:r>
          </w:p>
        </w:tc>
        <w:tc>
          <w:tcPr>
            <w:tcW w:w="0" w:type="auto"/>
            <w:vAlign w:val="center"/>
            <w:hideMark/>
          </w:tcPr>
          <w:p w14:paraId="6E00FFC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Hard-to-Reach</w:t>
            </w:r>
          </w:p>
        </w:tc>
        <w:tc>
          <w:tcPr>
            <w:tcW w:w="0" w:type="auto"/>
            <w:vAlign w:val="center"/>
            <w:hideMark/>
          </w:tcPr>
          <w:p w14:paraId="3762490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ICT</w:t>
            </w:r>
          </w:p>
        </w:tc>
        <w:tc>
          <w:tcPr>
            <w:tcW w:w="0" w:type="auto"/>
            <w:vAlign w:val="center"/>
            <w:hideMark/>
          </w:tcPr>
          <w:p w14:paraId="50980DD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Information and Communication Technology</w:t>
            </w:r>
          </w:p>
        </w:tc>
      </w:tr>
      <w:tr w:rsidR="00443C3C" w:rsidRPr="00374D49" w14:paraId="4202CB42" w14:textId="77777777">
        <w:trPr>
          <w:cantSplit/>
          <w:tblCellSpacing w:w="15" w:type="dxa"/>
        </w:trPr>
        <w:tc>
          <w:tcPr>
            <w:tcW w:w="0" w:type="auto"/>
            <w:vAlign w:val="center"/>
            <w:hideMark/>
          </w:tcPr>
          <w:p w14:paraId="15A1FF4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IDSR</w:t>
            </w:r>
          </w:p>
        </w:tc>
        <w:tc>
          <w:tcPr>
            <w:tcW w:w="0" w:type="auto"/>
            <w:vAlign w:val="center"/>
            <w:hideMark/>
          </w:tcPr>
          <w:p w14:paraId="02CAE78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Integrated Disease Surveillance and Response</w:t>
            </w:r>
          </w:p>
        </w:tc>
        <w:tc>
          <w:tcPr>
            <w:tcW w:w="0" w:type="auto"/>
            <w:vAlign w:val="center"/>
            <w:hideMark/>
          </w:tcPr>
          <w:p w14:paraId="3D215B1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IEV</w:t>
            </w:r>
          </w:p>
        </w:tc>
        <w:tc>
          <w:tcPr>
            <w:tcW w:w="0" w:type="auto"/>
            <w:vAlign w:val="center"/>
            <w:hideMark/>
          </w:tcPr>
          <w:p w14:paraId="43AF956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Identify-Enumerate-Vaccinate</w:t>
            </w:r>
          </w:p>
        </w:tc>
      </w:tr>
      <w:tr w:rsidR="00443C3C" w:rsidRPr="00374D49" w14:paraId="59EB1BCF" w14:textId="77777777">
        <w:trPr>
          <w:cantSplit/>
          <w:tblCellSpacing w:w="15" w:type="dxa"/>
        </w:trPr>
        <w:tc>
          <w:tcPr>
            <w:tcW w:w="0" w:type="auto"/>
            <w:vAlign w:val="center"/>
            <w:hideMark/>
          </w:tcPr>
          <w:p w14:paraId="003C8A1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IHME</w:t>
            </w:r>
          </w:p>
        </w:tc>
        <w:tc>
          <w:tcPr>
            <w:tcW w:w="0" w:type="auto"/>
            <w:vAlign w:val="center"/>
            <w:hideMark/>
          </w:tcPr>
          <w:p w14:paraId="2D89F8B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Institute for Health Metrics and Evaluation</w:t>
            </w:r>
          </w:p>
        </w:tc>
        <w:tc>
          <w:tcPr>
            <w:tcW w:w="0" w:type="auto"/>
            <w:vAlign w:val="center"/>
            <w:hideMark/>
          </w:tcPr>
          <w:p w14:paraId="211710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LASSO</w:t>
            </w:r>
          </w:p>
        </w:tc>
        <w:tc>
          <w:tcPr>
            <w:tcW w:w="0" w:type="auto"/>
            <w:vAlign w:val="center"/>
            <w:hideMark/>
          </w:tcPr>
          <w:p w14:paraId="0CE575F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Least Absolute Shrinkage and Selection Operator</w:t>
            </w:r>
          </w:p>
        </w:tc>
      </w:tr>
      <w:tr w:rsidR="00443C3C" w:rsidRPr="00374D49" w14:paraId="5306DC87" w14:textId="77777777">
        <w:trPr>
          <w:cantSplit/>
          <w:tblCellSpacing w:w="15" w:type="dxa"/>
        </w:trPr>
        <w:tc>
          <w:tcPr>
            <w:tcW w:w="0" w:type="auto"/>
            <w:vAlign w:val="center"/>
            <w:hideMark/>
          </w:tcPr>
          <w:p w14:paraId="2B96ABF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LGA</w:t>
            </w:r>
          </w:p>
        </w:tc>
        <w:tc>
          <w:tcPr>
            <w:tcW w:w="0" w:type="auto"/>
            <w:vAlign w:val="center"/>
            <w:hideMark/>
          </w:tcPr>
          <w:p w14:paraId="4E4F0A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Government Area</w:t>
            </w:r>
          </w:p>
        </w:tc>
        <w:tc>
          <w:tcPr>
            <w:tcW w:w="0" w:type="auto"/>
            <w:vAlign w:val="center"/>
            <w:hideMark/>
          </w:tcPr>
          <w:p w14:paraId="4962FFC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LMIC</w:t>
            </w:r>
          </w:p>
        </w:tc>
        <w:tc>
          <w:tcPr>
            <w:tcW w:w="0" w:type="auto"/>
            <w:vAlign w:val="center"/>
            <w:hideMark/>
          </w:tcPr>
          <w:p w14:paraId="75FBAC1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Low- and Middle-Income Country</w:t>
            </w:r>
          </w:p>
        </w:tc>
      </w:tr>
      <w:tr w:rsidR="00443C3C" w:rsidRPr="00374D49" w14:paraId="448BB99E" w14:textId="77777777">
        <w:trPr>
          <w:cantSplit/>
          <w:tblCellSpacing w:w="15" w:type="dxa"/>
        </w:trPr>
        <w:tc>
          <w:tcPr>
            <w:tcW w:w="0" w:type="auto"/>
            <w:vAlign w:val="center"/>
            <w:hideMark/>
          </w:tcPr>
          <w:p w14:paraId="49471AF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LQAS</w:t>
            </w:r>
          </w:p>
        </w:tc>
        <w:tc>
          <w:tcPr>
            <w:tcW w:w="0" w:type="auto"/>
            <w:vAlign w:val="center"/>
            <w:hideMark/>
          </w:tcPr>
          <w:p w14:paraId="47E202C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Lot Quality Assurance Sampling</w:t>
            </w:r>
          </w:p>
        </w:tc>
        <w:tc>
          <w:tcPr>
            <w:tcW w:w="0" w:type="auto"/>
            <w:vAlign w:val="center"/>
            <w:hideMark/>
          </w:tcPr>
          <w:p w14:paraId="44910A4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M&amp;E</w:t>
            </w:r>
          </w:p>
        </w:tc>
        <w:tc>
          <w:tcPr>
            <w:tcW w:w="0" w:type="auto"/>
            <w:vAlign w:val="center"/>
            <w:hideMark/>
          </w:tcPr>
          <w:p w14:paraId="0B43D69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Monitoring and Evaluation</w:t>
            </w:r>
          </w:p>
        </w:tc>
      </w:tr>
      <w:tr w:rsidR="00443C3C" w:rsidRPr="00374D49" w14:paraId="624FE88B" w14:textId="77777777">
        <w:trPr>
          <w:cantSplit/>
          <w:tblCellSpacing w:w="15" w:type="dxa"/>
        </w:trPr>
        <w:tc>
          <w:tcPr>
            <w:tcW w:w="0" w:type="auto"/>
            <w:vAlign w:val="center"/>
            <w:hideMark/>
          </w:tcPr>
          <w:p w14:paraId="3F5CB1A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MCV1</w:t>
            </w:r>
          </w:p>
        </w:tc>
        <w:tc>
          <w:tcPr>
            <w:tcW w:w="0" w:type="auto"/>
            <w:vAlign w:val="center"/>
            <w:hideMark/>
          </w:tcPr>
          <w:p w14:paraId="6218F41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Measles-Containing Vaccine</w:t>
            </w:r>
          </w:p>
        </w:tc>
        <w:tc>
          <w:tcPr>
            <w:tcW w:w="0" w:type="auto"/>
            <w:vAlign w:val="center"/>
            <w:hideMark/>
          </w:tcPr>
          <w:p w14:paraId="72580F2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MCV2</w:t>
            </w:r>
          </w:p>
        </w:tc>
        <w:tc>
          <w:tcPr>
            <w:tcW w:w="0" w:type="auto"/>
            <w:vAlign w:val="center"/>
            <w:hideMark/>
          </w:tcPr>
          <w:p w14:paraId="374B643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Second dose of Measles-Containing Vaccine</w:t>
            </w:r>
          </w:p>
        </w:tc>
      </w:tr>
      <w:tr w:rsidR="00443C3C" w:rsidRPr="00374D49" w14:paraId="0FE01A56" w14:textId="77777777">
        <w:trPr>
          <w:cantSplit/>
          <w:tblCellSpacing w:w="15" w:type="dxa"/>
        </w:trPr>
        <w:tc>
          <w:tcPr>
            <w:tcW w:w="0" w:type="auto"/>
            <w:vAlign w:val="center"/>
            <w:hideMark/>
          </w:tcPr>
          <w:p w14:paraId="2E990B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MGWR</w:t>
            </w:r>
          </w:p>
        </w:tc>
        <w:tc>
          <w:tcPr>
            <w:tcW w:w="0" w:type="auto"/>
            <w:vAlign w:val="center"/>
            <w:hideMark/>
          </w:tcPr>
          <w:p w14:paraId="405C8E5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Multiscale Geographically Weighted Regression</w:t>
            </w:r>
          </w:p>
        </w:tc>
        <w:tc>
          <w:tcPr>
            <w:tcW w:w="0" w:type="auto"/>
            <w:vAlign w:val="center"/>
            <w:hideMark/>
          </w:tcPr>
          <w:p w14:paraId="39CC837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NCDC</w:t>
            </w:r>
          </w:p>
        </w:tc>
        <w:tc>
          <w:tcPr>
            <w:tcW w:w="0" w:type="auto"/>
            <w:vAlign w:val="center"/>
            <w:hideMark/>
          </w:tcPr>
          <w:p w14:paraId="75DBE4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Centre for Disease Control and Prevention</w:t>
            </w:r>
          </w:p>
        </w:tc>
      </w:tr>
      <w:tr w:rsidR="00443C3C" w:rsidRPr="00374D49" w14:paraId="6E8065F2" w14:textId="77777777">
        <w:trPr>
          <w:cantSplit/>
          <w:tblCellSpacing w:w="15" w:type="dxa"/>
        </w:trPr>
        <w:tc>
          <w:tcPr>
            <w:tcW w:w="0" w:type="auto"/>
            <w:vAlign w:val="center"/>
            <w:hideMark/>
          </w:tcPr>
          <w:p w14:paraId="235F214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NDHS</w:t>
            </w:r>
          </w:p>
        </w:tc>
        <w:tc>
          <w:tcPr>
            <w:tcW w:w="0" w:type="auto"/>
            <w:vAlign w:val="center"/>
            <w:hideMark/>
          </w:tcPr>
          <w:p w14:paraId="138D221A"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Demographic and Health Survey</w:t>
            </w:r>
          </w:p>
        </w:tc>
        <w:tc>
          <w:tcPr>
            <w:tcW w:w="0" w:type="auto"/>
            <w:vAlign w:val="center"/>
            <w:hideMark/>
          </w:tcPr>
          <w:p w14:paraId="2861E97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NITDA</w:t>
            </w:r>
          </w:p>
        </w:tc>
        <w:tc>
          <w:tcPr>
            <w:tcW w:w="0" w:type="auto"/>
            <w:vAlign w:val="center"/>
            <w:hideMark/>
          </w:tcPr>
          <w:p w14:paraId="4F46E9B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Information Technology Development Agency</w:t>
            </w:r>
          </w:p>
        </w:tc>
      </w:tr>
      <w:tr w:rsidR="00443C3C" w:rsidRPr="00374D49" w14:paraId="3AD172DC" w14:textId="77777777">
        <w:trPr>
          <w:cantSplit/>
          <w:tblCellSpacing w:w="15" w:type="dxa"/>
        </w:trPr>
        <w:tc>
          <w:tcPr>
            <w:tcW w:w="0" w:type="auto"/>
            <w:vAlign w:val="center"/>
            <w:hideMark/>
          </w:tcPr>
          <w:p w14:paraId="4ED3E0A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NPC</w:t>
            </w:r>
          </w:p>
        </w:tc>
        <w:tc>
          <w:tcPr>
            <w:tcW w:w="0" w:type="auto"/>
            <w:vAlign w:val="center"/>
            <w:hideMark/>
          </w:tcPr>
          <w:p w14:paraId="315E950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Population Commission</w:t>
            </w:r>
          </w:p>
        </w:tc>
        <w:tc>
          <w:tcPr>
            <w:tcW w:w="0" w:type="auto"/>
            <w:vAlign w:val="center"/>
            <w:hideMark/>
          </w:tcPr>
          <w:p w14:paraId="1487F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NPHCDA</w:t>
            </w:r>
          </w:p>
        </w:tc>
        <w:tc>
          <w:tcPr>
            <w:tcW w:w="0" w:type="auto"/>
            <w:vAlign w:val="center"/>
            <w:hideMark/>
          </w:tcPr>
          <w:p w14:paraId="3FB5C19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National Primary Health Care Development Agency</w:t>
            </w:r>
          </w:p>
        </w:tc>
      </w:tr>
      <w:tr w:rsidR="00443C3C" w:rsidRPr="00374D49" w14:paraId="05459223" w14:textId="77777777">
        <w:trPr>
          <w:cantSplit/>
          <w:tblCellSpacing w:w="15" w:type="dxa"/>
        </w:trPr>
        <w:tc>
          <w:tcPr>
            <w:tcW w:w="0" w:type="auto"/>
            <w:vAlign w:val="center"/>
            <w:hideMark/>
          </w:tcPr>
          <w:p w14:paraId="10303F1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ODK</w:t>
            </w:r>
          </w:p>
        </w:tc>
        <w:tc>
          <w:tcPr>
            <w:tcW w:w="0" w:type="auto"/>
            <w:vAlign w:val="center"/>
            <w:hideMark/>
          </w:tcPr>
          <w:p w14:paraId="25EFF3D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 Data Kit</w:t>
            </w:r>
          </w:p>
        </w:tc>
        <w:tc>
          <w:tcPr>
            <w:tcW w:w="0" w:type="auto"/>
            <w:vAlign w:val="center"/>
            <w:hideMark/>
          </w:tcPr>
          <w:p w14:paraId="0169A32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OLS</w:t>
            </w:r>
          </w:p>
        </w:tc>
        <w:tc>
          <w:tcPr>
            <w:tcW w:w="0" w:type="auto"/>
            <w:vAlign w:val="center"/>
            <w:hideMark/>
          </w:tcPr>
          <w:p w14:paraId="4CA5875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Ordinary Least Squares</w:t>
            </w:r>
          </w:p>
        </w:tc>
      </w:tr>
      <w:tr w:rsidR="00443C3C" w:rsidRPr="00374D49" w14:paraId="27B02744" w14:textId="77777777">
        <w:trPr>
          <w:cantSplit/>
          <w:tblCellSpacing w:w="15" w:type="dxa"/>
        </w:trPr>
        <w:tc>
          <w:tcPr>
            <w:tcW w:w="0" w:type="auto"/>
            <w:vAlign w:val="center"/>
            <w:hideMark/>
          </w:tcPr>
          <w:p w14:paraId="590407E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Penta1</w:t>
            </w:r>
          </w:p>
        </w:tc>
        <w:tc>
          <w:tcPr>
            <w:tcW w:w="0" w:type="auto"/>
            <w:vAlign w:val="center"/>
            <w:hideMark/>
          </w:tcPr>
          <w:p w14:paraId="0AAF21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First dose of Pentavalent vaccine</w:t>
            </w:r>
          </w:p>
        </w:tc>
        <w:tc>
          <w:tcPr>
            <w:tcW w:w="0" w:type="auto"/>
            <w:vAlign w:val="center"/>
            <w:hideMark/>
          </w:tcPr>
          <w:p w14:paraId="7B9D4349"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Penta3</w:t>
            </w:r>
          </w:p>
        </w:tc>
        <w:tc>
          <w:tcPr>
            <w:tcW w:w="0" w:type="auto"/>
            <w:vAlign w:val="center"/>
            <w:hideMark/>
          </w:tcPr>
          <w:p w14:paraId="5B2B503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Third dose of Pentavalent vaccine</w:t>
            </w:r>
          </w:p>
        </w:tc>
      </w:tr>
      <w:tr w:rsidR="00443C3C" w:rsidRPr="00374D49" w14:paraId="40992AC4" w14:textId="77777777">
        <w:trPr>
          <w:cantSplit/>
          <w:tblCellSpacing w:w="15" w:type="dxa"/>
        </w:trPr>
        <w:tc>
          <w:tcPr>
            <w:tcW w:w="0" w:type="auto"/>
            <w:vAlign w:val="center"/>
            <w:hideMark/>
          </w:tcPr>
          <w:p w14:paraId="2BDF2FC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PHC</w:t>
            </w:r>
          </w:p>
        </w:tc>
        <w:tc>
          <w:tcPr>
            <w:tcW w:w="0" w:type="auto"/>
            <w:vAlign w:val="center"/>
            <w:hideMark/>
          </w:tcPr>
          <w:p w14:paraId="2C38912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Primary Health Care</w:t>
            </w:r>
          </w:p>
        </w:tc>
        <w:tc>
          <w:tcPr>
            <w:tcW w:w="0" w:type="auto"/>
            <w:vAlign w:val="center"/>
            <w:hideMark/>
          </w:tcPr>
          <w:p w14:paraId="11245C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PRS</w:t>
            </w:r>
          </w:p>
        </w:tc>
        <w:tc>
          <w:tcPr>
            <w:tcW w:w="0" w:type="auto"/>
            <w:vAlign w:val="center"/>
            <w:hideMark/>
          </w:tcPr>
          <w:p w14:paraId="3AFABFB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Planning, Research and Statistics</w:t>
            </w:r>
          </w:p>
        </w:tc>
      </w:tr>
      <w:tr w:rsidR="00443C3C" w:rsidRPr="00374D49" w14:paraId="410280F1" w14:textId="77777777">
        <w:trPr>
          <w:cantSplit/>
          <w:tblCellSpacing w:w="15" w:type="dxa"/>
        </w:trPr>
        <w:tc>
          <w:tcPr>
            <w:tcW w:w="0" w:type="auto"/>
            <w:vAlign w:val="center"/>
            <w:hideMark/>
          </w:tcPr>
          <w:p w14:paraId="4F0A7AE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QGIS</w:t>
            </w:r>
          </w:p>
        </w:tc>
        <w:tc>
          <w:tcPr>
            <w:tcW w:w="0" w:type="auto"/>
            <w:vAlign w:val="center"/>
            <w:hideMark/>
          </w:tcPr>
          <w:p w14:paraId="601966E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Open-source Geographic Information System software</w:t>
            </w:r>
          </w:p>
        </w:tc>
        <w:tc>
          <w:tcPr>
            <w:tcW w:w="0" w:type="auto"/>
            <w:vAlign w:val="center"/>
            <w:hideMark/>
          </w:tcPr>
          <w:p w14:paraId="498E73B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R-hat</w:t>
            </w:r>
          </w:p>
        </w:tc>
        <w:tc>
          <w:tcPr>
            <w:tcW w:w="0" w:type="auto"/>
            <w:vAlign w:val="center"/>
            <w:hideMark/>
          </w:tcPr>
          <w:p w14:paraId="78FA9A6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Potential Scale Reduction or model-convergence statistic</w:t>
            </w:r>
          </w:p>
        </w:tc>
      </w:tr>
      <w:tr w:rsidR="00443C3C" w:rsidRPr="00374D49" w14:paraId="42ED2F77" w14:textId="77777777">
        <w:trPr>
          <w:cantSplit/>
          <w:tblCellSpacing w:w="15" w:type="dxa"/>
        </w:trPr>
        <w:tc>
          <w:tcPr>
            <w:tcW w:w="0" w:type="auto"/>
            <w:vAlign w:val="center"/>
            <w:hideMark/>
          </w:tcPr>
          <w:p w14:paraId="18196C7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RI</w:t>
            </w:r>
          </w:p>
        </w:tc>
        <w:tc>
          <w:tcPr>
            <w:tcW w:w="0" w:type="auto"/>
            <w:vAlign w:val="center"/>
            <w:hideMark/>
          </w:tcPr>
          <w:p w14:paraId="22625B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Routine Immunization</w:t>
            </w:r>
          </w:p>
        </w:tc>
        <w:tc>
          <w:tcPr>
            <w:tcW w:w="0" w:type="auto"/>
            <w:vAlign w:val="center"/>
            <w:hideMark/>
          </w:tcPr>
          <w:p w14:paraId="326BBA5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RTS,S</w:t>
            </w:r>
          </w:p>
        </w:tc>
        <w:tc>
          <w:tcPr>
            <w:tcW w:w="0" w:type="auto"/>
            <w:vAlign w:val="center"/>
            <w:hideMark/>
          </w:tcPr>
          <w:p w14:paraId="69D8F2F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 xml:space="preserve">Malaria vaccine targeting </w:t>
            </w:r>
            <w:r>
              <w:rPr>
                <w:rFonts w:eastAsia="Times New Roman" w:cs="Times New Roman"/>
                <w:i/>
                <w:iCs/>
                <w:sz w:val="18"/>
                <w:szCs w:val="18"/>
                <w:lang w:eastAsia="en-GB"/>
              </w:rPr>
              <w:t>Plasmodium falciparum</w:t>
            </w:r>
          </w:p>
        </w:tc>
      </w:tr>
      <w:tr w:rsidR="00443C3C" w:rsidRPr="00374D49" w14:paraId="0E626319" w14:textId="77777777">
        <w:trPr>
          <w:cantSplit/>
          <w:tblCellSpacing w:w="15" w:type="dxa"/>
        </w:trPr>
        <w:tc>
          <w:tcPr>
            <w:tcW w:w="0" w:type="auto"/>
            <w:vAlign w:val="center"/>
            <w:hideMark/>
          </w:tcPr>
          <w:p w14:paraId="2042C43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SIA</w:t>
            </w:r>
          </w:p>
        </w:tc>
        <w:tc>
          <w:tcPr>
            <w:tcW w:w="0" w:type="auto"/>
            <w:vAlign w:val="center"/>
            <w:hideMark/>
          </w:tcPr>
          <w:p w14:paraId="3C6F5A7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Supplementary Immunization Activity</w:t>
            </w:r>
          </w:p>
        </w:tc>
        <w:tc>
          <w:tcPr>
            <w:tcW w:w="0" w:type="auto"/>
            <w:vAlign w:val="center"/>
            <w:hideMark/>
          </w:tcPr>
          <w:p w14:paraId="16EE35D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SMS</w:t>
            </w:r>
          </w:p>
        </w:tc>
        <w:tc>
          <w:tcPr>
            <w:tcW w:w="0" w:type="auto"/>
            <w:vAlign w:val="center"/>
            <w:hideMark/>
          </w:tcPr>
          <w:p w14:paraId="4B942BD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Short Message Service</w:t>
            </w:r>
          </w:p>
        </w:tc>
      </w:tr>
      <w:tr w:rsidR="00443C3C" w:rsidRPr="00374D49" w14:paraId="64AAC508" w14:textId="77777777">
        <w:trPr>
          <w:cantSplit/>
          <w:tblCellSpacing w:w="15" w:type="dxa"/>
        </w:trPr>
        <w:tc>
          <w:tcPr>
            <w:tcW w:w="0" w:type="auto"/>
            <w:vAlign w:val="center"/>
            <w:hideMark/>
          </w:tcPr>
          <w:p w14:paraId="6F806BF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SPHCDA</w:t>
            </w:r>
          </w:p>
        </w:tc>
        <w:tc>
          <w:tcPr>
            <w:tcW w:w="0" w:type="auto"/>
            <w:vAlign w:val="center"/>
            <w:hideMark/>
          </w:tcPr>
          <w:p w14:paraId="2CBA607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State Primary Health Care Development Agency</w:t>
            </w:r>
          </w:p>
        </w:tc>
        <w:tc>
          <w:tcPr>
            <w:tcW w:w="0" w:type="auto"/>
            <w:vAlign w:val="center"/>
            <w:hideMark/>
          </w:tcPr>
          <w:p w14:paraId="05143DC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SPSS</w:t>
            </w:r>
          </w:p>
        </w:tc>
        <w:tc>
          <w:tcPr>
            <w:tcW w:w="0" w:type="auto"/>
            <w:vAlign w:val="center"/>
            <w:hideMark/>
          </w:tcPr>
          <w:p w14:paraId="7493C99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Statistical Package for the Social Sciences</w:t>
            </w:r>
          </w:p>
        </w:tc>
      </w:tr>
      <w:tr w:rsidR="00443C3C" w:rsidRPr="00374D49" w14:paraId="021D87EF" w14:textId="77777777">
        <w:trPr>
          <w:cantSplit/>
          <w:tblCellSpacing w:w="15" w:type="dxa"/>
        </w:trPr>
        <w:tc>
          <w:tcPr>
            <w:tcW w:w="0" w:type="auto"/>
            <w:vAlign w:val="center"/>
            <w:hideMark/>
          </w:tcPr>
          <w:p w14:paraId="0655AFE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TBA</w:t>
            </w:r>
          </w:p>
        </w:tc>
        <w:tc>
          <w:tcPr>
            <w:tcW w:w="0" w:type="auto"/>
            <w:vAlign w:val="center"/>
            <w:hideMark/>
          </w:tcPr>
          <w:p w14:paraId="20491AC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Traditional Birth Attendant</w:t>
            </w:r>
          </w:p>
        </w:tc>
        <w:tc>
          <w:tcPr>
            <w:tcW w:w="0" w:type="auto"/>
            <w:vAlign w:val="center"/>
            <w:hideMark/>
          </w:tcPr>
          <w:p w14:paraId="2F9484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UNICEF</w:t>
            </w:r>
          </w:p>
        </w:tc>
        <w:tc>
          <w:tcPr>
            <w:tcW w:w="0" w:type="auto"/>
            <w:vAlign w:val="center"/>
            <w:hideMark/>
          </w:tcPr>
          <w:p w14:paraId="6FA7596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United Nations Children’s Fund</w:t>
            </w:r>
          </w:p>
        </w:tc>
      </w:tr>
      <w:tr w:rsidR="00443C3C" w:rsidRPr="00374D49" w14:paraId="63E3E1CA" w14:textId="77777777">
        <w:trPr>
          <w:cantSplit/>
          <w:tblCellSpacing w:w="15" w:type="dxa"/>
        </w:trPr>
        <w:tc>
          <w:tcPr>
            <w:tcW w:w="0" w:type="auto"/>
            <w:vAlign w:val="center"/>
            <w:hideMark/>
          </w:tcPr>
          <w:p w14:paraId="41F4824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VPD</w:t>
            </w:r>
          </w:p>
        </w:tc>
        <w:tc>
          <w:tcPr>
            <w:tcW w:w="0" w:type="auto"/>
            <w:vAlign w:val="center"/>
            <w:hideMark/>
          </w:tcPr>
          <w:p w14:paraId="5C36252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Vaccine-Preventable Disease</w:t>
            </w:r>
          </w:p>
        </w:tc>
        <w:tc>
          <w:tcPr>
            <w:tcW w:w="0" w:type="auto"/>
            <w:vAlign w:val="center"/>
            <w:hideMark/>
          </w:tcPr>
          <w:p w14:paraId="243C075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w:t>
            </w:r>
          </w:p>
        </w:tc>
        <w:tc>
          <w:tcPr>
            <w:tcW w:w="0" w:type="auto"/>
            <w:vAlign w:val="center"/>
            <w:hideMark/>
          </w:tcPr>
          <w:p w14:paraId="2DF3251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World Health Organization</w:t>
            </w:r>
          </w:p>
        </w:tc>
      </w:tr>
      <w:tr w:rsidR="00443C3C" w:rsidRPr="00374D49" w14:paraId="031749D2" w14:textId="77777777">
        <w:trPr>
          <w:cantSplit/>
          <w:tblCellSpacing w:w="15" w:type="dxa"/>
        </w:trPr>
        <w:tc>
          <w:tcPr>
            <w:tcW w:w="0" w:type="auto"/>
            <w:vAlign w:val="center"/>
            <w:hideMark/>
          </w:tcPr>
          <w:p w14:paraId="3859DFD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WUENIC</w:t>
            </w:r>
          </w:p>
        </w:tc>
        <w:tc>
          <w:tcPr>
            <w:tcW w:w="0" w:type="auto"/>
            <w:vAlign w:val="center"/>
            <w:hideMark/>
          </w:tcPr>
          <w:p w14:paraId="6AEC422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WHO/UNICEF Estimates of National Immunization Coverage</w:t>
            </w:r>
          </w:p>
        </w:tc>
        <w:tc>
          <w:tcPr>
            <w:tcW w:w="0" w:type="auto"/>
            <w:vAlign w:val="center"/>
            <w:hideMark/>
          </w:tcPr>
          <w:p w14:paraId="04B36562"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ZARA</w:t>
            </w:r>
          </w:p>
        </w:tc>
        <w:tc>
          <w:tcPr>
            <w:tcW w:w="0" w:type="auto"/>
            <w:vAlign w:val="center"/>
            <w:hideMark/>
          </w:tcPr>
          <w:p w14:paraId="71451A8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 Analytics and Risk Assistant</w:t>
            </w:r>
          </w:p>
        </w:tc>
      </w:tr>
      <w:tr w:rsidR="00443C3C" w:rsidRPr="00374D49" w14:paraId="51AFC7EA" w14:textId="77777777">
        <w:trPr>
          <w:cantSplit/>
          <w:tblCellSpacing w:w="15" w:type="dxa"/>
        </w:trPr>
        <w:tc>
          <w:tcPr>
            <w:tcW w:w="0" w:type="auto"/>
            <w:vAlign w:val="center"/>
            <w:hideMark/>
          </w:tcPr>
          <w:p w14:paraId="2F77A72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ZD</w:t>
            </w:r>
          </w:p>
        </w:tc>
        <w:tc>
          <w:tcPr>
            <w:tcW w:w="0" w:type="auto"/>
            <w:vAlign w:val="center"/>
            <w:hideMark/>
          </w:tcPr>
          <w:p w14:paraId="1C55316F"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Zero-Dose</w:t>
            </w:r>
          </w:p>
        </w:tc>
        <w:tc>
          <w:tcPr>
            <w:tcW w:w="0" w:type="auto"/>
            <w:vAlign w:val="center"/>
            <w:hideMark/>
          </w:tcPr>
          <w:p w14:paraId="0B562FC4"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4732DC6"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6D13E05F" w14:textId="77777777">
        <w:trPr>
          <w:cantSplit/>
          <w:tblCellSpacing w:w="15" w:type="dxa"/>
        </w:trPr>
        <w:tc>
          <w:tcPr>
            <w:tcW w:w="0" w:type="auto"/>
            <w:vAlign w:val="center"/>
            <w:hideMark/>
          </w:tcPr>
          <w:p w14:paraId="3AEB5B84"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ACLED</w:t>
            </w:r>
          </w:p>
        </w:tc>
        <w:tc>
          <w:tcPr>
            <w:tcW w:w="0" w:type="auto"/>
            <w:vAlign w:val="center"/>
            <w:hideMark/>
          </w:tcPr>
          <w:p w14:paraId="7222A267"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Armed Conflict Location and Event Data</w:t>
            </w:r>
          </w:p>
        </w:tc>
        <w:tc>
          <w:tcPr>
            <w:tcW w:w="0" w:type="auto"/>
            <w:vAlign w:val="center"/>
            <w:hideMark/>
          </w:tcPr>
          <w:p w14:paraId="35BD4640"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93CD06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3A63B36C" w14:textId="77777777">
        <w:trPr>
          <w:cantSplit/>
          <w:tblCellSpacing w:w="15" w:type="dxa"/>
        </w:trPr>
        <w:tc>
          <w:tcPr>
            <w:tcW w:w="0" w:type="auto"/>
            <w:vAlign w:val="center"/>
            <w:hideMark/>
          </w:tcPr>
          <w:p w14:paraId="2E939E5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BHCPF</w:t>
            </w:r>
          </w:p>
        </w:tc>
        <w:tc>
          <w:tcPr>
            <w:tcW w:w="0" w:type="auto"/>
            <w:vAlign w:val="center"/>
            <w:hideMark/>
          </w:tcPr>
          <w:p w14:paraId="702F276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Basic Health Care Provision Fund</w:t>
            </w:r>
          </w:p>
        </w:tc>
        <w:tc>
          <w:tcPr>
            <w:tcW w:w="0" w:type="auto"/>
            <w:vAlign w:val="center"/>
            <w:hideMark/>
          </w:tcPr>
          <w:p w14:paraId="5C06AD05"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7289188"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429BFA4A" w14:textId="77777777">
        <w:trPr>
          <w:cantSplit/>
          <w:tblCellSpacing w:w="15" w:type="dxa"/>
        </w:trPr>
        <w:tc>
          <w:tcPr>
            <w:tcW w:w="0" w:type="auto"/>
            <w:vAlign w:val="center"/>
            <w:hideMark/>
          </w:tcPr>
          <w:p w14:paraId="1DE705B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LBD</w:t>
            </w:r>
          </w:p>
        </w:tc>
        <w:tc>
          <w:tcPr>
            <w:tcW w:w="0" w:type="auto"/>
            <w:vAlign w:val="center"/>
            <w:hideMark/>
          </w:tcPr>
          <w:p w14:paraId="42D3CC6C"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Local Burden of Disease (IHME)</w:t>
            </w:r>
          </w:p>
        </w:tc>
        <w:tc>
          <w:tcPr>
            <w:tcW w:w="0" w:type="auto"/>
            <w:vAlign w:val="center"/>
            <w:hideMark/>
          </w:tcPr>
          <w:p w14:paraId="52561DE1"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4CC527FD"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0D5A861C" w14:textId="77777777">
        <w:trPr>
          <w:cantSplit/>
          <w:tblCellSpacing w:w="15" w:type="dxa"/>
        </w:trPr>
        <w:tc>
          <w:tcPr>
            <w:tcW w:w="0" w:type="auto"/>
            <w:vAlign w:val="center"/>
            <w:hideMark/>
          </w:tcPr>
          <w:p w14:paraId="74DDB98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NmDHS</w:t>
            </w:r>
          </w:p>
        </w:tc>
        <w:tc>
          <w:tcPr>
            <w:tcW w:w="0" w:type="auto"/>
            <w:vAlign w:val="center"/>
            <w:hideMark/>
          </w:tcPr>
          <w:p w14:paraId="792274C8"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Nigeria mini Demographic and Health Survey</w:t>
            </w:r>
          </w:p>
        </w:tc>
        <w:tc>
          <w:tcPr>
            <w:tcW w:w="0" w:type="auto"/>
            <w:vAlign w:val="center"/>
            <w:hideMark/>
          </w:tcPr>
          <w:p w14:paraId="39E724A7"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7375E837"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C821E5A" w14:textId="77777777">
        <w:trPr>
          <w:cantSplit/>
          <w:tblCellSpacing w:w="15" w:type="dxa"/>
        </w:trPr>
        <w:tc>
          <w:tcPr>
            <w:tcW w:w="0" w:type="auto"/>
            <w:vAlign w:val="center"/>
            <w:hideMark/>
          </w:tcPr>
          <w:p w14:paraId="64D7AB0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PCV</w:t>
            </w:r>
          </w:p>
        </w:tc>
        <w:tc>
          <w:tcPr>
            <w:tcW w:w="0" w:type="auto"/>
            <w:vAlign w:val="center"/>
            <w:hideMark/>
          </w:tcPr>
          <w:p w14:paraId="40C8F0A1"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Pneumococcal conjugate vaccine</w:t>
            </w:r>
          </w:p>
        </w:tc>
        <w:tc>
          <w:tcPr>
            <w:tcW w:w="0" w:type="auto"/>
            <w:vAlign w:val="center"/>
            <w:hideMark/>
          </w:tcPr>
          <w:p w14:paraId="77C41618"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38908D1B"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298F310F" w14:textId="77777777">
        <w:trPr>
          <w:cantSplit/>
          <w:tblCellSpacing w:w="15" w:type="dxa"/>
        </w:trPr>
        <w:tc>
          <w:tcPr>
            <w:tcW w:w="0" w:type="auto"/>
            <w:vAlign w:val="center"/>
            <w:hideMark/>
          </w:tcPr>
          <w:p w14:paraId="46D3187E"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REC</w:t>
            </w:r>
          </w:p>
        </w:tc>
        <w:tc>
          <w:tcPr>
            <w:tcW w:w="0" w:type="auto"/>
            <w:vAlign w:val="center"/>
            <w:hideMark/>
          </w:tcPr>
          <w:p w14:paraId="2B5F83A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Reaching Every Community</w:t>
            </w:r>
          </w:p>
        </w:tc>
        <w:tc>
          <w:tcPr>
            <w:tcW w:w="0" w:type="auto"/>
            <w:vAlign w:val="center"/>
            <w:hideMark/>
          </w:tcPr>
          <w:p w14:paraId="0A4A4409"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5E20C0B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50DC0AE6" w14:textId="77777777">
        <w:trPr>
          <w:cantSplit/>
          <w:tblCellSpacing w:w="15" w:type="dxa"/>
        </w:trPr>
        <w:tc>
          <w:tcPr>
            <w:tcW w:w="0" w:type="auto"/>
            <w:vAlign w:val="center"/>
            <w:hideMark/>
          </w:tcPr>
          <w:p w14:paraId="7559E5D6"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w:t>
            </w:r>
          </w:p>
        </w:tc>
        <w:tc>
          <w:tcPr>
            <w:tcW w:w="0" w:type="auto"/>
            <w:vAlign w:val="center"/>
            <w:hideMark/>
          </w:tcPr>
          <w:p w14:paraId="14D33755"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Rotavirus vaccine</w:t>
            </w:r>
          </w:p>
        </w:tc>
        <w:tc>
          <w:tcPr>
            <w:tcW w:w="0" w:type="auto"/>
            <w:vAlign w:val="center"/>
            <w:hideMark/>
          </w:tcPr>
          <w:p w14:paraId="05FE83A3"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100CA9D5"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1B46EC09" w14:textId="77777777">
        <w:trPr>
          <w:cantSplit/>
          <w:tblCellSpacing w:w="15" w:type="dxa"/>
        </w:trPr>
        <w:tc>
          <w:tcPr>
            <w:tcW w:w="0" w:type="auto"/>
            <w:vAlign w:val="center"/>
            <w:hideMark/>
          </w:tcPr>
          <w:p w14:paraId="249AEE13"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lastRenderedPageBreak/>
              <w:t>WorldPop</w:t>
            </w:r>
          </w:p>
        </w:tc>
        <w:tc>
          <w:tcPr>
            <w:tcW w:w="0" w:type="auto"/>
            <w:vAlign w:val="center"/>
            <w:hideMark/>
          </w:tcPr>
          <w:p w14:paraId="66AC248B"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Gridded population estimate programme</w:t>
            </w:r>
          </w:p>
        </w:tc>
        <w:tc>
          <w:tcPr>
            <w:tcW w:w="0" w:type="auto"/>
            <w:vAlign w:val="center"/>
            <w:hideMark/>
          </w:tcPr>
          <w:p w14:paraId="7502D9EF" w14:textId="77777777" w:rsidR="00443C3C" w:rsidRPr="00374D49" w:rsidRDefault="00443C3C" w:rsidP="00443C3C">
            <w:pPr>
              <w:spacing w:after="0" w:line="240" w:lineRule="auto"/>
              <w:rPr>
                <w:rFonts w:eastAsia="Times New Roman" w:cs="Times New Roman"/>
                <w:sz w:val="18"/>
                <w:szCs w:val="18"/>
                <w:lang w:eastAsia="en-GB"/>
              </w:rPr>
            </w:pPr>
          </w:p>
        </w:tc>
        <w:tc>
          <w:tcPr>
            <w:tcW w:w="0" w:type="auto"/>
            <w:vAlign w:val="center"/>
            <w:hideMark/>
          </w:tcPr>
          <w:p w14:paraId="096FA62E" w14:textId="77777777" w:rsidR="00443C3C" w:rsidRPr="00374D49" w:rsidRDefault="00443C3C" w:rsidP="00443C3C">
            <w:pPr>
              <w:spacing w:after="0" w:line="240" w:lineRule="auto"/>
              <w:rPr>
                <w:rFonts w:eastAsia="Times New Roman" w:cs="Times New Roman"/>
                <w:sz w:val="18"/>
                <w:szCs w:val="18"/>
                <w:lang w:eastAsia="en-GB"/>
              </w:rPr>
            </w:pPr>
          </w:p>
        </w:tc>
      </w:tr>
      <w:tr w:rsidR="00443C3C" w:rsidRPr="00374D49" w14:paraId="7BF3A8DE" w14:textId="77777777">
        <w:trPr>
          <w:cantSplit/>
          <w:tblCellSpacing w:w="15" w:type="dxa"/>
        </w:trPr>
        <w:tc>
          <w:tcPr>
            <w:tcW w:w="0" w:type="auto"/>
            <w:vAlign w:val="center"/>
            <w:hideMark/>
          </w:tcPr>
          <w:p w14:paraId="4C3D4F4D"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SAE</w:t>
            </w:r>
          </w:p>
        </w:tc>
        <w:tc>
          <w:tcPr>
            <w:tcW w:w="0" w:type="auto"/>
            <w:vAlign w:val="center"/>
            <w:hideMark/>
          </w:tcPr>
          <w:p w14:paraId="67182CB0" w14:textId="77777777" w:rsidR="00443C3C" w:rsidRPr="00374D49" w:rsidRDefault="00443C3C" w:rsidP="00443C3C">
            <w:pPr>
              <w:spacing w:after="0" w:line="240" w:lineRule="auto"/>
              <w:rPr>
                <w:rFonts w:eastAsia="Times New Roman" w:cs="Times New Roman"/>
                <w:sz w:val="18"/>
                <w:szCs w:val="18"/>
                <w:lang w:eastAsia="en-GB"/>
              </w:rPr>
            </w:pPr>
            <w:r>
              <w:rPr>
                <w:rFonts w:eastAsia="Times New Roman" w:cs="Times New Roman"/>
                <w:sz w:val="18"/>
                <w:szCs w:val="18"/>
                <w:lang w:eastAsia="en-GB"/>
              </w:rPr>
              <w:t>Small-area estimation</w:t>
            </w:r>
          </w:p>
        </w:tc>
        <w:tc>
          <w:tcPr>
            <w:tcW w:w="0" w:type="auto"/>
            <w:vAlign w:val="center"/>
            <w:hideMark/>
          </w:tcPr>
          <w:p w14:paraId="25775579" w14:textId="77777777" w:rsidR="00443C3C" w:rsidRPr="00374D49" w:rsidRDefault="00443C3C" w:rsidP="00443C3C">
            <w:pPr>
              <w:spacing w:after="0" w:line="240" w:lineRule="auto"/>
              <w:rPr>
                <w:rFonts w:eastAsia="Times New Roman" w:cs="Times New Roman"/>
                <w:sz w:val="18"/>
                <w:szCs w:val="18"/>
                <w:lang w:eastAsia="en-GB"/>
              </w:rPr>
            </w:pPr>
            <w:r>
              <w:t>BYM2</w:t>
            </w:r>
          </w:p>
        </w:tc>
        <w:tc>
          <w:tcPr>
            <w:tcW w:w="0" w:type="auto"/>
            <w:vAlign w:val="center"/>
            <w:hideMark/>
          </w:tcPr>
          <w:p w14:paraId="6E16CE42" w14:textId="77777777" w:rsidR="00443C3C" w:rsidRPr="00374D49" w:rsidRDefault="00443C3C" w:rsidP="00443C3C">
            <w:pPr>
              <w:spacing w:after="0" w:line="240" w:lineRule="auto"/>
              <w:rPr>
                <w:rFonts w:eastAsia="Times New Roman" w:cs="Times New Roman"/>
                <w:sz w:val="18"/>
                <w:szCs w:val="18"/>
                <w:lang w:eastAsia="en-GB"/>
              </w:rPr>
            </w:pPr>
            <w:r>
              <w:t>Besag-York-Mollie spatial model, version 2</w:t>
            </w:r>
          </w:p>
        </w:tc>
      </w:tr>
    </w:tbl>
    <w:p w14:paraId="5351F359" w14:textId="22E14D29" w:rsidR="00684177" w:rsidRPr="00374D49" w:rsidRDefault="00684177" w:rsidP="00FD4A5B">
      <w:pPr>
        <w:pStyle w:val="Heading1"/>
        <w:spacing w:line="276" w:lineRule="auto"/>
      </w:pPr>
      <w:bookmarkStart w:id="2" w:name="_Toc242407899"/>
      <w:r>
        <w:t>Executive Summary</w:t>
      </w:r>
      <w:bookmarkEnd w:id="0"/>
      <w:bookmarkEnd w:id="2"/>
    </w:p>
    <w:p w14:paraId="36787C2C" w14:textId="47407D0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 xml:space="preserve">Introduction and Background </w:t>
      </w:r>
    </w:p>
    <w:p w14:paraId="69CE4C50" w14:textId="1E502C0A"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Nigeria continues to carry a substantial and highly unequal burden of zero-dose and under-immunized children. Although national immunization indicators suggest gradual recovery and broadly stable routine delivery, national averages conceal severe subnational disparities, particularly across the North-West and parts of the North-East. Persistent challenges include unreliable population denominators, incomplete private-sector reporting, fragmented data systems, limited advanced analytics capacity, insecurity, geographical barriers, and uneven use of available data for proactive decision-making. The NPHCDA, with GAVI and UNICEF support, therefore implemented this programme to integrate predictive modelling into immunization planning to strengthen national and subnational capacity for data-driven prevention, preparedness, and response to vaccine-preventable diseases. </w:t>
      </w:r>
    </w:p>
    <w:p w14:paraId="2F8AFABD" w14:textId="092253A0" w:rsidR="0075215A" w:rsidRPr="00374D49" w:rsidRDefault="0075215A" w:rsidP="00FD4A5B">
      <w:pPr>
        <w:spacing w:after="0" w:line="276" w:lineRule="auto"/>
        <w:rPr>
          <w:rFonts w:cs="Times New Roman"/>
          <w:b/>
          <w:bCs/>
          <w:color w:val="000000" w:themeColor="text1"/>
          <w:szCs w:val="24"/>
        </w:rPr>
      </w:pPr>
      <w:r>
        <w:rPr>
          <w:rFonts w:cs="Times New Roman"/>
          <w:b/>
          <w:bCs/>
          <w:color w:val="000000" w:themeColor="text1"/>
          <w:szCs w:val="24"/>
        </w:rPr>
        <w:t>Objectives</w:t>
      </w:r>
    </w:p>
    <w:p w14:paraId="2A528ABB" w14:textId="0D96B844"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programme sought to build the capacity of the NPHCDA and State Primary Health Care Development Agencies to use surveillance and routine immunization data for trend analysis, predictive modelling, and decision support. Specific objectives included integrating modelling into routine planning and resource allocation, developing sustainable government capacity, strengthening staff proficiency in data analysis and predictive methods, and promoting the use of modelling for programme adaptation, vaccine introduction, and implementation strategy review.</w:t>
      </w:r>
    </w:p>
    <w:p w14:paraId="3A6313C0" w14:textId="77777777" w:rsidR="00FD1F2C" w:rsidRPr="00374D49" w:rsidRDefault="00FD1F2C" w:rsidP="00FD4A5B">
      <w:pPr>
        <w:spacing w:line="276" w:lineRule="auto"/>
        <w:jc w:val="both"/>
        <w:rPr>
          <w:rFonts w:cs="Times New Roman"/>
          <w:b/>
          <w:bCs/>
          <w:color w:val="000000" w:themeColor="text1"/>
          <w:szCs w:val="24"/>
        </w:rPr>
      </w:pPr>
      <w:r>
        <w:rPr>
          <w:rFonts w:cs="Times New Roman"/>
          <w:b/>
          <w:bCs/>
          <w:color w:val="000000" w:themeColor="text1"/>
          <w:szCs w:val="24"/>
        </w:rPr>
        <w:t>Preparatory Engagement and Participant Selection</w:t>
      </w:r>
    </w:p>
    <w:p w14:paraId="3307C150" w14:textId="3CA19F77"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The implementation process included formal preparatory engagement with participating states and relevant institutional stakeholders. Letters were sent to states to introduce the assessment, clarify the purpose of the work, request cooperation, and support access to state, LGA and facility-level respondents. This was followed by state entry and community entry processes conducted in collaboration with state and local immunization structures. These activities supported respondent identification, scheduling of interviews, field team introduction, and smooth administration of the readiness checklist and key informant interviews.</w:t>
      </w:r>
    </w:p>
    <w:p w14:paraId="0F240F17" w14:textId="4B8FE3DE" w:rsidR="00FD1F2C" w:rsidRPr="00374D49" w:rsidRDefault="00FD1F2C" w:rsidP="00FD4A5B">
      <w:pPr>
        <w:spacing w:line="276" w:lineRule="auto"/>
        <w:jc w:val="both"/>
        <w:rPr>
          <w:rFonts w:cs="Times New Roman"/>
          <w:color w:val="000000" w:themeColor="text1"/>
          <w:szCs w:val="24"/>
        </w:rPr>
      </w:pPr>
      <w:r>
        <w:rPr>
          <w:rFonts w:cs="Times New Roman"/>
          <w:color w:val="000000" w:themeColor="text1"/>
          <w:szCs w:val="24"/>
        </w:rPr>
        <w:t>Participant selection for the modelling fellowship was structured to support national and subnational ownership. A total of 20 national-level participants were selected, comprising 18 NPHCDA participants and 2 NCDC participants. In addition, 37 subnational participants were selected to represent state-level routine immunization and data-use structures. This ensured that capacity-building activities were not limited to the national level but extended to officers expected to interpret and apply modelling outputs in routine planning, supervision and corrective action.</w:t>
      </w:r>
    </w:p>
    <w:p w14:paraId="18A15DA2" w14:textId="77777777" w:rsidR="00186B04" w:rsidRDefault="00186B04" w:rsidP="00FD4A5B">
      <w:pPr>
        <w:spacing w:after="0" w:line="276" w:lineRule="auto"/>
        <w:jc w:val="both"/>
        <w:rPr>
          <w:rFonts w:cs="Times New Roman"/>
          <w:b/>
          <w:bCs/>
          <w:color w:val="000000" w:themeColor="text1"/>
          <w:szCs w:val="24"/>
        </w:rPr>
      </w:pPr>
    </w:p>
    <w:p w14:paraId="51F6488E" w14:textId="77777777" w:rsidR="00186B04" w:rsidRDefault="00186B04" w:rsidP="00FD4A5B">
      <w:pPr>
        <w:spacing w:after="0" w:line="276" w:lineRule="auto"/>
        <w:jc w:val="both"/>
        <w:rPr>
          <w:rFonts w:cs="Times New Roman"/>
          <w:b/>
          <w:bCs/>
          <w:color w:val="000000" w:themeColor="text1"/>
          <w:szCs w:val="24"/>
        </w:rPr>
      </w:pPr>
    </w:p>
    <w:p w14:paraId="3BF23B27" w14:textId="0191D07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Modelling Domains and Questions</w:t>
      </w:r>
    </w:p>
    <w:p w14:paraId="471B151C" w14:textId="6A27CD8F"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Seven priority domains were completed: antigen-coverage forecasting; vaccination dropout and completion; equity and zero-dose risk stratification; vaccine hesitancy; zero-dose forecasting, hotspots and community archetypes; polio risk and interruption; and vaccine-preventable-disease outbreak risk. A planned eighth domain covering campaign optimization, counterfactual scenarios, and cost-effectiveness remains dependent on programme expenditure data. </w:t>
      </w:r>
    </w:p>
    <w:p w14:paraId="6230337A" w14:textId="52A4D0C2"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Data Sources and Analytical Methods</w:t>
      </w:r>
    </w:p>
    <w:p w14:paraId="7421B0E6" w14:textId="625EC2F8"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The analyses triangulated routine DHIS2 immunization data, NDHS survey estimates, a 37-state zero-dose master dataset, ACSM activity records, equity indicators, GRID3 spatial boundaries, the national AFP line list, population estimates, and Institute for Health Metrics and Evaluation (IHME)  Global Burden of Disease (GBD) 2023 mortality estimates. Methods included Prophet forecasting, LASSO feature selection, geographically weighted regression, composite indices, Bayesian hierarchical beta regression, Bayesian small-area estimation with a spatial (BYM2) model, Getis-Ord hotspot analysis, hierarchical clustering, spatial scan statistics, negative-binomial modelling, and false-discovery-rate-corrected correlation tests. The results were operationalized through a live no-code predictive-modelling application and the ZARA analytical assistant.</w:t>
      </w:r>
    </w:p>
    <w:p w14:paraId="736DC932" w14:textId="211507B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Findings by Modelling Domain</w:t>
      </w:r>
    </w:p>
    <w:p w14:paraId="5375B0ED" w14:textId="1A0CC7F5"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 xml:space="preserve">National forecasts for BCG, Penta1, Penta3, and Measles1 remained above 80% of their 2024 level, but 1,302 of 3,092 LGA-antigen forecasts, in 513 of 773 LGAs, fell below that mark, 195 of them with the decline already visible in 2025, demonstrating that risk is local rather than national. A wider panel of nine additional antigens (OPV3, IPV1, PCV3, Yellow Fever and Meningitis A) showed no decline warnings; IPV2 continues to rise, while rotavirus doses dipped in 2025 and need watching. Measles1-to-Measles2 remained the most important completion gap, while dropout drivers differed by antigen transition and therefore require differentiated interventions. Equity analysis showed that locally varying models substantially outperformed a single national model and identified severe structural deprivation in the North-West. Hesitancy was not significantly associated with zero-dose burden, indicating that access and supply constraints must be addressed separately from demand-generation concerns. Bayesian forecasts identified Sokoto, Kebbi, and Zamfara as critical-rate states, while Kano, Katsina, Kaduna, and other populous states carried large absolute numbers of zero-dose children. The North-West accounted for approximately 1.08 million forecast zero-dose children in 2026. Two Bayesian methods estimated about 2.1 million zero-dose children in 2026: 2.10 million under Method 1, a Bayesian hierarchical model with DHIS2-calibrated LGA allocation (773 LGAs), and 2.15 million under Method 2, Bayesian small-area estimation (all 774 LGAs). About 150 LGAs hold half of the burden and 319 to 342 LGAs are needed to reach 80%; 107 LGAs rank in the top 155 under both methods. Five community archetypes, defined at local government level across all 774 LGAs, demonstrated that intervention packages must be adapted to combinations of distance, fertility, poverty, education, facility delivery, and demand barriers. Polio risk was spatially concentrated, with residual vaccine-derived risk requiring sustained surveillance and campaign quality. Seven of eight coverage-to-mortality </w:t>
      </w:r>
      <w:r>
        <w:rPr>
          <w:rFonts w:cs="Times New Roman"/>
          <w:color w:val="000000" w:themeColor="text1"/>
          <w:szCs w:val="24"/>
        </w:rPr>
        <w:lastRenderedPageBreak/>
        <w:t>hypotheses were supported, and the zero-dose forecast correlated strongly with vaccine-targeted mortality, confirming convergence of immunization, equity and child-survival risks. The forecasts were validated out-of-sample against the NmDHS 2025-26, released after this work concluded, which ranked the 37 states in almost the same order (ρ = 0.89 for Method 1 and 0.87 for Method 2) and matched the North-West level to within one percentage point, and against an independently constructed IHME LGA coverage surface (ρ = 0.65 and 0.89).</w:t>
      </w:r>
    </w:p>
    <w:p w14:paraId="482BC7A6" w14:textId="59FF2DF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Readiness Assessment</w:t>
      </w:r>
    </w:p>
    <w:p w14:paraId="6511459E" w14:textId="062F07FF" w:rsidR="0075215A" w:rsidRPr="00374D49" w:rsidRDefault="0075215A" w:rsidP="00FD4A5B">
      <w:pPr>
        <w:spacing w:after="0" w:line="276" w:lineRule="auto"/>
        <w:jc w:val="both"/>
        <w:rPr>
          <w:rFonts w:cs="Times New Roman"/>
          <w:color w:val="000000" w:themeColor="text1"/>
          <w:szCs w:val="24"/>
        </w:rPr>
      </w:pPr>
      <w:r>
        <w:rPr>
          <w:rFonts w:cs="Times New Roman"/>
          <w:color w:val="000000" w:themeColor="text1"/>
          <w:szCs w:val="24"/>
        </w:rPr>
        <w:t>Baseline readiness ranged from 59.5% to 97.6%, while endline scores ranged from 78.6% to 97.6%. Bayelsa recorded the largest improvement, increasing from 59.5% to 90.5%. Routine data availability and use were generally strong. Qualitative findings showed progress from general awareness to confirmed operational use of modelling in identifying and reviewing priority zero-dose LGAs, although national capacity remained concentrated in a small number of staff and continued to depend on external partners.</w:t>
      </w:r>
    </w:p>
    <w:p w14:paraId="1276309C" w14:textId="77777777" w:rsidR="00F80949" w:rsidRPr="00374D49" w:rsidRDefault="00F80949" w:rsidP="00FD4A5B">
      <w:pPr>
        <w:spacing w:after="0" w:line="276" w:lineRule="auto"/>
        <w:jc w:val="both"/>
        <w:rPr>
          <w:rFonts w:cs="Times New Roman"/>
          <w:b/>
          <w:bCs/>
          <w:color w:val="000000" w:themeColor="text1"/>
          <w:szCs w:val="24"/>
        </w:rPr>
      </w:pPr>
    </w:p>
    <w:p w14:paraId="35FD0297" w14:textId="77777777" w:rsidR="00F87ACE" w:rsidRDefault="00F87ACE" w:rsidP="00FD4A5B">
      <w:pPr>
        <w:spacing w:after="0" w:line="276" w:lineRule="auto"/>
        <w:jc w:val="both"/>
        <w:rPr>
          <w:rFonts w:cs="Times New Roman"/>
          <w:b/>
          <w:bCs/>
          <w:color w:val="000000" w:themeColor="text1"/>
          <w:szCs w:val="24"/>
        </w:rPr>
      </w:pPr>
    </w:p>
    <w:p w14:paraId="19E3AA10" w14:textId="2D1FBF5C" w:rsidR="00A4722D" w:rsidRPr="00374D49" w:rsidRDefault="00A4722D" w:rsidP="00FD4A5B">
      <w:pPr>
        <w:spacing w:after="0" w:line="276" w:lineRule="auto"/>
        <w:jc w:val="both"/>
        <w:rPr>
          <w:rFonts w:cs="Times New Roman"/>
          <w:b/>
          <w:bCs/>
          <w:color w:val="000000" w:themeColor="text1"/>
          <w:szCs w:val="24"/>
        </w:rPr>
      </w:pPr>
      <w:r>
        <w:rPr>
          <w:rFonts w:cs="Times New Roman"/>
          <w:b/>
          <w:bCs/>
          <w:color w:val="000000" w:themeColor="text1"/>
          <w:szCs w:val="24"/>
        </w:rPr>
        <w:t>Stakeholder Engagement, Digital Remediation and Close-out Activities</w:t>
      </w:r>
    </w:p>
    <w:p w14:paraId="6B2ABBF3" w14:textId="3531ED8C"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The programme included structured stakeholder engagement and close-out activities to support interpretation, ownership and uptake of the modelling outputs. Stakeholders engaged included NPHCDA leadership, the Executive Director NPHCDA, directors and key NPHCDA programme leads, the Digital Innovation Hub team, the Routine Immunization team, the Routine Immunization Technical Working Group, Gavi in-country and technical stakeholders, UNICEF, NCDC, national participants, subnational participants and the CIDRE–Quantium Insights Consortium.</w:t>
      </w:r>
    </w:p>
    <w:p w14:paraId="61794BB1" w14:textId="77777777" w:rsidR="00A4722D" w:rsidRPr="00374D49" w:rsidRDefault="00A4722D" w:rsidP="00FD4A5B">
      <w:pPr>
        <w:spacing w:after="0" w:line="276" w:lineRule="auto"/>
        <w:jc w:val="both"/>
        <w:rPr>
          <w:rFonts w:cs="Times New Roman"/>
          <w:color w:val="000000" w:themeColor="text1"/>
          <w:szCs w:val="24"/>
        </w:rPr>
      </w:pPr>
    </w:p>
    <w:p w14:paraId="0559AD3B" w14:textId="7ECA5FBF"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Following the meeting with the GAVI in-country team, the consortium held a further presentation with the Deputy Director NPHCDA, other directors and key NPHCDA staff, including the Head of DIH and Head of RI. The team presented to the Executive Director, who recommended inclusion of additional antigens such as OPV and IPV, ranking of LGAs from worst to best for prioritization, and development of LGA-specific problem statements with corresponding proposed interventions and solutions. These inputs were intended to strengthen outbreak preparedness, intervention planning and operational use of the priority list. The team also presented to the Routine Immunization Technical Working Group.</w:t>
      </w:r>
    </w:p>
    <w:p w14:paraId="5C57616F" w14:textId="77777777" w:rsidR="00A4722D" w:rsidRPr="00374D49" w:rsidRDefault="00A4722D" w:rsidP="00FD4A5B">
      <w:pPr>
        <w:spacing w:after="0" w:line="276" w:lineRule="auto"/>
        <w:jc w:val="both"/>
        <w:rPr>
          <w:rFonts w:cs="Times New Roman"/>
          <w:color w:val="000000" w:themeColor="text1"/>
          <w:szCs w:val="24"/>
        </w:rPr>
      </w:pPr>
    </w:p>
    <w:p w14:paraId="75355E89" w14:textId="1F41D796" w:rsidR="00A4722D" w:rsidRPr="00374D49" w:rsidRDefault="00A4722D" w:rsidP="00FD4A5B">
      <w:pPr>
        <w:spacing w:after="0" w:line="276" w:lineRule="auto"/>
        <w:jc w:val="both"/>
        <w:rPr>
          <w:rFonts w:cs="Times New Roman"/>
          <w:color w:val="000000" w:themeColor="text1"/>
          <w:szCs w:val="24"/>
        </w:rPr>
      </w:pPr>
      <w:r>
        <w:rPr>
          <w:rFonts w:cs="Times New Roman"/>
          <w:color w:val="000000" w:themeColor="text1"/>
          <w:szCs w:val="24"/>
        </w:rPr>
        <w:t>A remedy plan was developed to address the digital and DIH gaps identified during implementation. The plan prioritizes DIH operationalization, routine DHIS2 data refresh, model-output visualization, state-level analytics participation, data-quality automation, systems integration, power and connectivity improvements, role-based access, approval workflows, documentation, and continued capacity-building. The gap analysis showed that DHIS2/HMIS and routine review structures provide a foundation, but predictive modelling requires a stronger digital ecosystem capable of linking data sources, assuring quality, running reproducible models, refreshing dashboards, protecting data, and embedding interpretation into routine decision forums.</w:t>
      </w:r>
    </w:p>
    <w:p w14:paraId="68D9D0BE" w14:textId="77777777" w:rsidR="0075215A" w:rsidRPr="00374D49" w:rsidRDefault="0075215A" w:rsidP="00FD4A5B">
      <w:pPr>
        <w:spacing w:after="0" w:line="276" w:lineRule="auto"/>
        <w:jc w:val="both"/>
        <w:rPr>
          <w:rFonts w:cs="Times New Roman"/>
          <w:color w:val="000000" w:themeColor="text1"/>
          <w:szCs w:val="24"/>
        </w:rPr>
      </w:pPr>
    </w:p>
    <w:p w14:paraId="4BC916BF" w14:textId="0208D490"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lastRenderedPageBreak/>
        <w:t>Conclusions and Recommendations</w:t>
      </w:r>
    </w:p>
    <w:p w14:paraId="28693973" w14:textId="7FC5A8FB" w:rsidR="0075215A"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Nigeria’s zero-dose burden is concentrated, persistent, and actionable. Immediate investment should prioritize Sokoto, Kebbi, and Zamfara, followed by other convergent high-risk states and the ranked high-burden LGAs. Programmes should protect Penta1-3 coverage, close the Measles2 completion gap, differentiate interventions by community archetype, strengthen polio surveillance, institutionalize the modelling platform within the Digital Innovation Hub, establish a small, dedicated analytics core, provide sustained mentorship, and assign explicit modelling responsibilities with leadership oversight. Systems and infrastructure support should be concentrated in weaker units, alongside decisive action to address denominator instability and private- and tertiary-facility reporting gaps.</w:t>
      </w:r>
    </w:p>
    <w:p w14:paraId="6E068B30" w14:textId="77777777" w:rsidR="00186B04" w:rsidRDefault="00186B04" w:rsidP="00FD4A5B">
      <w:pPr>
        <w:spacing w:after="0" w:line="276" w:lineRule="auto"/>
        <w:jc w:val="both"/>
        <w:rPr>
          <w:rFonts w:cs="Times New Roman"/>
          <w:b/>
          <w:bCs/>
          <w:color w:val="000000" w:themeColor="text1"/>
          <w:szCs w:val="24"/>
        </w:rPr>
      </w:pPr>
    </w:p>
    <w:p w14:paraId="117E9FE9" w14:textId="0C169811" w:rsidR="0075215A" w:rsidRPr="00374D49" w:rsidRDefault="0075215A" w:rsidP="00FD4A5B">
      <w:pPr>
        <w:spacing w:after="0" w:line="276" w:lineRule="auto"/>
        <w:jc w:val="both"/>
        <w:rPr>
          <w:rFonts w:cs="Times New Roman"/>
          <w:b/>
          <w:bCs/>
          <w:color w:val="000000" w:themeColor="text1"/>
          <w:szCs w:val="24"/>
        </w:rPr>
      </w:pPr>
      <w:r>
        <w:rPr>
          <w:rFonts w:cs="Times New Roman"/>
          <w:b/>
          <w:bCs/>
          <w:color w:val="000000" w:themeColor="text1"/>
          <w:szCs w:val="24"/>
        </w:rPr>
        <w:t>Limitations and Next Steps</w:t>
      </w:r>
    </w:p>
    <w:p w14:paraId="1378726D" w14:textId="353F6BD2" w:rsidR="00FC6635" w:rsidRPr="00374D49" w:rsidRDefault="0075215A" w:rsidP="00FD4A5B">
      <w:pPr>
        <w:spacing w:line="276" w:lineRule="auto"/>
        <w:jc w:val="both"/>
        <w:rPr>
          <w:rFonts w:cs="Times New Roman"/>
          <w:color w:val="000000" w:themeColor="text1"/>
          <w:szCs w:val="24"/>
        </w:rPr>
      </w:pPr>
      <w:r>
        <w:rPr>
          <w:rFonts w:cs="Times New Roman"/>
          <w:color w:val="000000" w:themeColor="text1"/>
          <w:szCs w:val="24"/>
        </w:rPr>
        <w:t>Outbreak-risk estimates currently use GBD mortality as a proxy pending IDSR/NCDC line-list data. Routine administrative data remain affected by reporting and denominator errors; hesitancy findings reflect recorded ACSM concerns rather than population prevalence; and readiness findings cover thirteen administrative units rather than every state. The next phase should update the models with surveillance and expenditure data, complete campaign optimization and cost-effectiveness modelling, validate LGA prioritization, include additional antigens such as OPV and IPV, develop LGA-specific problem-and-intervention profiles, and embed routine model refresh, review and decision-use processes within the DIH.</w:t>
      </w:r>
    </w:p>
    <w:p w14:paraId="07EF8E9A" w14:textId="77777777" w:rsidR="00FC6635" w:rsidRPr="00374D49" w:rsidRDefault="00FC6635" w:rsidP="00FD4A5B">
      <w:pPr>
        <w:spacing w:line="276" w:lineRule="auto"/>
        <w:rPr>
          <w:rFonts w:cs="Times New Roman"/>
          <w:color w:val="000000" w:themeColor="text1"/>
          <w:szCs w:val="24"/>
        </w:rPr>
      </w:pPr>
      <w:r>
        <w:rPr>
          <w:rFonts w:cs="Times New Roman"/>
          <w:color w:val="000000" w:themeColor="text1"/>
          <w:szCs w:val="24"/>
        </w:rPr>
        <w:br w:type="page"/>
      </w:r>
    </w:p>
    <w:p w14:paraId="12B0F6FB" w14:textId="77777777" w:rsidR="00F67531" w:rsidRPr="00374D49" w:rsidRDefault="00F67531" w:rsidP="00FD4A5B">
      <w:pPr>
        <w:pStyle w:val="Heading1"/>
        <w:spacing w:before="0" w:line="276" w:lineRule="auto"/>
      </w:pPr>
      <w:bookmarkStart w:id="3" w:name="_Toc242407900"/>
      <w:r>
        <w:lastRenderedPageBreak/>
        <w:t>1. Introduction and Background</w:t>
      </w:r>
      <w:bookmarkEnd w:id="3"/>
    </w:p>
    <w:p w14:paraId="3AA20C09" w14:textId="5322648D" w:rsidR="00041A2B" w:rsidRPr="00374D49" w:rsidRDefault="00041A2B" w:rsidP="00FD4A5B">
      <w:pPr>
        <w:pStyle w:val="BodyText"/>
        <w:spacing w:before="0" w:after="0" w:line="276" w:lineRule="auto"/>
        <w:jc w:val="both"/>
        <w:rPr>
          <w:rFonts w:eastAsia="Times New Roman" w:cs="Times New Roman"/>
        </w:rPr>
      </w:pPr>
      <w:r>
        <w:rPr>
          <w:rFonts w:eastAsia="Times New Roman" w:cs="Times New Roman"/>
        </w:rPr>
        <w:t>Immunization is one of the world's most cost-effective health interventions and is responsible for saving millions of lives every year from vaccine-preventable diseases. Although there has been great progress around the world, there are still significant inequalities in vaccine coverage, especially in LMICs. There are still far too many zero-dose and under-immunized children in Sub-Saharan Africa, undermining progress toward universal health coverage and the global immunization goals. Nigeria is the most populous country in Africa, with a significant contribution to the burden of unvaccinated children globally. In 2018, 8.9 million Nigerian children were unvaccinated for the diphtheria-tetanus-pertussis vaccine (DTP1), particularly in northern regions. These differences are attributed to poor health systems, insecurity, population mobility, socioeconomic inequalities, and data quality and use in routine immunization programmes.</w:t>
      </w:r>
    </w:p>
    <w:p w14:paraId="75B49699" w14:textId="1201E249" w:rsidR="00041A2B" w:rsidRPr="00374D49" w:rsidRDefault="00041A2B" w:rsidP="00FD4A5B">
      <w:pPr>
        <w:pStyle w:val="BodyText"/>
        <w:spacing w:line="276" w:lineRule="auto"/>
        <w:jc w:val="both"/>
        <w:rPr>
          <w:rFonts w:eastAsia="Times New Roman" w:cs="Times New Roman"/>
        </w:rPr>
      </w:pPr>
      <w:r>
        <w:rPr>
          <w:rFonts w:eastAsia="Times New Roman" w:cs="Times New Roman"/>
        </w:rPr>
        <w:t>Nigeria has adopted several measures, such as supplemental immunization activities (SIAs) and health system strengthening at the primary health care (PHC) level, but gaps in health coverage suggest a need for rethinking planning and monitoring to address these inequities. Lack of integration of data systems, lack of integration of surveillance and program data, and lack of analytical capacity at the national and subnational levels are challenges to evidence-based decision-making. Recent developments in predictive modelling and geospatial analytics can be used to boost routine immunization systems. Data can be used to identify zero-dose children, predict outbreak risks, and prioritize resources. Institutionalization will require structured capacity building, data governance, and long-term partnerships, however, within government systems.</w:t>
      </w:r>
    </w:p>
    <w:p w14:paraId="2C0269EA" w14:textId="1F590CBF" w:rsidR="00041A2B" w:rsidRPr="00374D49" w:rsidRDefault="00041A2B" w:rsidP="00FD4A5B">
      <w:pPr>
        <w:pStyle w:val="BodyText"/>
        <w:spacing w:line="276" w:lineRule="auto"/>
        <w:jc w:val="both"/>
        <w:rPr>
          <w:rFonts w:eastAsia="Times New Roman" w:cs="Times New Roman"/>
        </w:rPr>
      </w:pPr>
      <w:r>
        <w:rPr>
          <w:rFonts w:eastAsia="Times New Roman" w:cs="Times New Roman"/>
        </w:rPr>
        <w:t>In this context, the National Primary Health Care Development Agency (NPHCDA), supported by GAVI and UNICEF, aims to mainstream predictive analytics into Nigeria's existing immunization system to improve decision-making, ensure equity, and drive progress towards reaching global immunization goals. Routine immunization is a public health intervention that is one of the most resource-efficient and saves an estimated 2-3 million lives every year around the world. High and sustained vaccination coverage in many low- and middle-income countries (LMICs) still represents a major challenge, especially in sub-Saharan Africa. Nigeria, Africa's most populous country, has significant systemic challenges in immunization, due to which the burden of vaccine-preventable diseases is disproportionately high in the country.</w:t>
      </w:r>
    </w:p>
    <w:p w14:paraId="008AACB2" w14:textId="2B3AE0CD" w:rsidR="00B45197" w:rsidRPr="00374D49" w:rsidRDefault="00041A2B" w:rsidP="00FD4A5B">
      <w:pPr>
        <w:pStyle w:val="BodyText"/>
        <w:spacing w:line="276" w:lineRule="auto"/>
        <w:jc w:val="both"/>
        <w:rPr>
          <w:rFonts w:cs="Times New Roman"/>
        </w:rPr>
      </w:pPr>
      <w:r>
        <w:rPr>
          <w:rFonts w:eastAsia="Times New Roman" w:cs="Times New Roman"/>
        </w:rPr>
        <w:t>With the assistance of GAVI, UNICEF, and other partners, the National Primary Health Care Development Agency (NPHCDA) has carried out several activities to enhance routine immunization services. But coverage gaps, geographic disparities, and data quality problems persist and hamper program effectiveness. The traditional way of planning and monitoring immunization has been reactive rather than proactive, responding to immunization coverage gaps and outbreaks after they have occurred.</w:t>
      </w:r>
    </w:p>
    <w:p w14:paraId="7018DE4C" w14:textId="23B94C17" w:rsidR="00B45197" w:rsidRPr="00374D49" w:rsidRDefault="00B45197" w:rsidP="00FD4A5B">
      <w:pPr>
        <w:spacing w:line="276" w:lineRule="auto"/>
        <w:rPr>
          <w:rFonts w:cs="Times New Roman"/>
          <w:b/>
          <w:bCs/>
          <w:szCs w:val="24"/>
        </w:rPr>
      </w:pPr>
      <w:r>
        <w:rPr>
          <w:rFonts w:cs="Times New Roman"/>
          <w:b/>
          <w:bCs/>
          <w:szCs w:val="24"/>
        </w:rPr>
        <w:t xml:space="preserve">Objectives </w:t>
      </w:r>
    </w:p>
    <w:p w14:paraId="0514E9E5" w14:textId="77777777" w:rsidR="00B45197" w:rsidRPr="00374D49" w:rsidRDefault="00B45197" w:rsidP="00FD4A5B">
      <w:pPr>
        <w:spacing w:line="276" w:lineRule="auto"/>
        <w:jc w:val="both"/>
        <w:rPr>
          <w:rFonts w:cs="Times New Roman"/>
          <w:szCs w:val="24"/>
        </w:rPr>
      </w:pPr>
      <w:r>
        <w:rPr>
          <w:rFonts w:cs="Times New Roman"/>
          <w:szCs w:val="24"/>
        </w:rPr>
        <w:t xml:space="preserve">To build the capacity of the NPHCDA and SPHCDAs to use surveillance and immunization data to identify ways to improve immunization programme effectiveness in preventing disease </w:t>
      </w:r>
      <w:r>
        <w:rPr>
          <w:rFonts w:cs="Times New Roman"/>
          <w:szCs w:val="24"/>
        </w:rPr>
        <w:lastRenderedPageBreak/>
        <w:t>through improved data-driven decision support for prevention, detection, preparedness, and response to vaccine-preventable diseases through trend analytics and mathematical modelling.</w:t>
      </w:r>
    </w:p>
    <w:p w14:paraId="71233D3F" w14:textId="77777777" w:rsidR="00142369" w:rsidRPr="00374D49" w:rsidRDefault="00142369" w:rsidP="00FD4A5B">
      <w:pPr>
        <w:spacing w:line="276" w:lineRule="auto"/>
        <w:jc w:val="both"/>
        <w:rPr>
          <w:rFonts w:cs="Times New Roman"/>
          <w:b/>
          <w:bCs/>
          <w:szCs w:val="24"/>
        </w:rPr>
      </w:pPr>
    </w:p>
    <w:p w14:paraId="2315D1A7" w14:textId="77777777" w:rsidR="00142369" w:rsidRPr="00374D49" w:rsidRDefault="00142369" w:rsidP="00FD4A5B">
      <w:pPr>
        <w:spacing w:line="276" w:lineRule="auto"/>
        <w:jc w:val="both"/>
        <w:rPr>
          <w:rFonts w:cs="Times New Roman"/>
          <w:b/>
          <w:bCs/>
          <w:szCs w:val="24"/>
        </w:rPr>
      </w:pPr>
    </w:p>
    <w:p w14:paraId="0E5DB968" w14:textId="6FF19CB5" w:rsidR="00B45197" w:rsidRPr="00374D49" w:rsidRDefault="00B45197" w:rsidP="00FD4A5B">
      <w:pPr>
        <w:spacing w:line="276" w:lineRule="auto"/>
        <w:jc w:val="both"/>
        <w:rPr>
          <w:rFonts w:cs="Times New Roman"/>
          <w:b/>
          <w:bCs/>
          <w:szCs w:val="24"/>
        </w:rPr>
      </w:pPr>
      <w:r>
        <w:rPr>
          <w:rFonts w:cs="Times New Roman"/>
          <w:b/>
          <w:bCs/>
          <w:szCs w:val="24"/>
        </w:rPr>
        <w:t>Specific Objectives</w:t>
      </w:r>
    </w:p>
    <w:p w14:paraId="3C9E7BA3"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predictive modelling into existing routine immunization programs based on the surveillance and routine immunization data to enhance decision-making and improve outcomes.</w:t>
      </w:r>
    </w:p>
    <w:p w14:paraId="26F9E02D"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integrate modelling into immunization programs and routine decision-making processes from surveillance and routine immunization data to enhance planning, resource allocation, and overall program effectiveness.</w:t>
      </w:r>
    </w:p>
    <w:p w14:paraId="5B19EE85" w14:textId="77777777"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build and institutionalize government capacity to adopt, sustain, and scale modelling practices for long-term impact and resilience in primary health care (PHC) initiatives.</w:t>
      </w:r>
    </w:p>
    <w:p w14:paraId="741B0797" w14:textId="77777777" w:rsidR="00B24A12"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enhance staff capacity in data modelling and predictive analysis by leveraging surveillance and immunization data from multiple platforms to inform evidence- based decision-making.</w:t>
      </w:r>
    </w:p>
    <w:p w14:paraId="4F2BF0CF" w14:textId="1D161B1E" w:rsidR="00B45197" w:rsidRPr="00374D49" w:rsidRDefault="00B45197" w:rsidP="00FD4A5B">
      <w:pPr>
        <w:pStyle w:val="ListParagraph"/>
        <w:numPr>
          <w:ilvl w:val="0"/>
          <w:numId w:val="3"/>
        </w:numPr>
        <w:spacing w:after="160" w:line="276" w:lineRule="auto"/>
        <w:contextualSpacing/>
        <w:jc w:val="both"/>
        <w:rPr>
          <w:sz w:val="24"/>
          <w:szCs w:val="24"/>
        </w:rPr>
      </w:pPr>
      <w:r>
        <w:rPr>
          <w:sz w:val="24"/>
          <w:szCs w:val="24"/>
        </w:rPr>
        <w:t>To promote staff adoption of predictive modelling techniques for strategic program planning, including vaccine introductions and shifts in implementation strategies</w:t>
      </w:r>
    </w:p>
    <w:p w14:paraId="29FFBD7F" w14:textId="7BC1A6E1" w:rsidR="00F67531" w:rsidRPr="00374D49" w:rsidRDefault="00F67531" w:rsidP="00FD4A5B">
      <w:pPr>
        <w:pStyle w:val="Heading2"/>
        <w:spacing w:line="276" w:lineRule="auto"/>
      </w:pPr>
      <w:bookmarkStart w:id="4" w:name="_Toc242407901"/>
      <w:r>
        <w:t>1.1 The Zero-Dose Child</w:t>
      </w:r>
      <w:bookmarkEnd w:id="4"/>
    </w:p>
    <w:p w14:paraId="53158176" w14:textId="4A6F655A"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Zero-dose children are those who have received no routine vaccinations, operationally identified as children who have not received the first dose of a DTP-containing vaccine (DTP1, also Penta1). DTP1 is used worldwide as a proxy for access to the immunization system, because a child who never receives it has typically never been reached by routine services. In 2024, an estimated 14.3 million children globally were zero-dose, and just nine countries account for more than half of them, with Nigeria among the largest contributors. Geographic remoteness, poverty, low maternal education, insecurity, and weak health-system reach are the recurring drivers of this exclusion.</w:t>
      </w:r>
    </w:p>
    <w:p w14:paraId="7B145AEA" w14:textId="77777777" w:rsidR="00F67531" w:rsidRPr="00374D49" w:rsidRDefault="00F67531" w:rsidP="00FD4A5B">
      <w:pPr>
        <w:pStyle w:val="Heading2"/>
        <w:spacing w:line="276" w:lineRule="auto"/>
      </w:pPr>
      <w:bookmarkStart w:id="5" w:name="_Toc242407902"/>
      <w:r>
        <w:t>1.2 Where Nigeria Stands, NDHS 2024</w:t>
      </w:r>
      <w:bookmarkEnd w:id="5"/>
    </w:p>
    <w:p w14:paraId="56F0B50C" w14:textId="70CCE6E1" w:rsidR="00F67531"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The 2023 to 2024 Nigeria Demographic and Health Survey (NDHS 2024) is the most recent nationally representative measurement of routine coverage. Anchoring this study's state estimates to the NDHS series (2008 to 2024) and weighting by the 12-to-23-month cohort, the national zero-dose rate has been essentially flat for a decade: 48.7% in 2008, 33.1% in 2018, and 33.5% in 2024. National averages, however, conceal a profound subnational divide: independent ecological analysis of NDHS data finds North-West DTP1 coverage declining from 37.3% (2018) to 33.4% (2024) even as the South-East holds above 90%. This inequity, not the national mean, is the problem this modelling programme is built to localize and act on.</w:t>
      </w:r>
    </w:p>
    <w:p w14:paraId="6B5E78E1" w14:textId="5A7AE64D" w:rsidR="00F67531" w:rsidRPr="00374D49" w:rsidRDefault="00F67531" w:rsidP="00FD4A5B">
      <w:pPr>
        <w:pStyle w:val="Heading2"/>
        <w:spacing w:line="276" w:lineRule="auto"/>
      </w:pPr>
      <w:bookmarkStart w:id="6" w:name="_Toc242407903"/>
      <w:r>
        <w:t>1.3 Why Zero-Dose Matters: The Link to Vaccine-Preventable Child Deaths</w:t>
      </w:r>
      <w:bookmarkEnd w:id="6"/>
    </w:p>
    <w:p w14:paraId="22253123" w14:textId="42E7B8CB" w:rsidR="00031310" w:rsidRPr="00374D49" w:rsidRDefault="00F67531" w:rsidP="00FD4A5B">
      <w:pPr>
        <w:spacing w:line="276" w:lineRule="auto"/>
        <w:jc w:val="both"/>
        <w:rPr>
          <w:rFonts w:cs="Times New Roman"/>
          <w:color w:val="000000" w:themeColor="text1"/>
          <w:szCs w:val="24"/>
        </w:rPr>
      </w:pPr>
      <w:r>
        <w:rPr>
          <w:rFonts w:cs="Times New Roman"/>
          <w:color w:val="000000" w:themeColor="text1"/>
          <w:szCs w:val="24"/>
        </w:rPr>
        <w:t xml:space="preserve">Nigeria carries one of the world's largest absolute burdens of under-five mortality, and the leading causes are dominated by conditions that vaccination prevents or mitigates. Global and </w:t>
      </w:r>
      <w:r>
        <w:rPr>
          <w:rFonts w:cs="Times New Roman"/>
          <w:color w:val="000000" w:themeColor="text1"/>
          <w:szCs w:val="24"/>
        </w:rPr>
        <w:lastRenderedPageBreak/>
        <w:t>Nigeria-specific estimates consistently rank malaria, diarrhoeal disease, and pneumonia (lower-respiratory infection) as the foremost causes of death among children aged 1 to 59 months, alongside neonatal causes (prematurity, birth asphyxia, sepsis). Measles, pertussis, diphtheria, tetanus, tuberculosis, and yellow fever, all directly preventable by EPI antigens, add a further avoidable layer of mortality. Because DTP1 non-receipt marks the children the system never reached, zero-dose concentration is, in effect, an early-warning map of where vaccine-preventable deaths are most likely to occur. Domain 7 tests that link formally and find it strongly supported.</w:t>
      </w:r>
      <w:r>
        <w:rPr>
          <w:rFonts w:cs="Times New Roman"/>
          <w:color w:val="000000" w:themeColor="text1"/>
          <w:szCs w:val="24"/>
        </w:rPr>
        <w:br w:type="page"/>
      </w:r>
    </w:p>
    <w:p w14:paraId="00001B59" w14:textId="77777777" w:rsidR="00374D49" w:rsidRDefault="00374D49">
      <w:pPr>
        <w:pStyle w:val="Heading2"/>
      </w:pPr>
      <w:bookmarkStart w:id="7" w:name="_Toc242407904"/>
      <w:r>
        <w:lastRenderedPageBreak/>
        <w:t>1.4 How the Programme Was Delivered</w:t>
      </w:r>
      <w:bookmarkEnd w:id="7"/>
    </w:p>
    <w:p w14:paraId="00001B5A" w14:textId="77777777" w:rsidR="00374D49" w:rsidRDefault="00374D49">
      <w:pPr>
        <w:spacing w:after="200" w:line="276" w:lineRule="auto"/>
        <w:jc w:val="both"/>
        <w:rPr>
          <w:rFonts w:cs="Times New Roman"/>
        </w:rPr>
      </w:pPr>
      <w:r>
        <w:rPr>
          <w:rFonts w:cs="Times New Roman"/>
        </w:rPr>
        <w:t>The programme ran as one integrated six-month cycle from January to June 2026, moving from assessment through capacity-building and applied modelling to institutional handover.</w:t>
      </w:r>
    </w:p>
    <w:p w14:paraId="00001B5B" w14:textId="77777777" w:rsidR="00374D49" w:rsidRDefault="00374D49">
      <w:pPr>
        <w:pStyle w:val="ListParagraph"/>
        <w:numPr>
          <w:ilvl w:val="0"/>
          <w:numId w:val="3"/>
        </w:numPr>
        <w:spacing w:after="120" w:line="276" w:lineRule="auto"/>
        <w:jc w:val="both"/>
      </w:pPr>
      <w:r>
        <w:rPr>
          <w:b/>
        </w:rPr>
        <w:t xml:space="preserve">Month 1: Inception and governance. </w:t>
      </w:r>
      <w:r>
        <w:t>Kickoff, workplan, data inventory and stakeholder alignment, alongside a baseline assessment documenting existing status, infrastructure, staff capacity and governance.</w:t>
      </w:r>
    </w:p>
    <w:p w14:paraId="00001B5C" w14:textId="77777777" w:rsidR="00374D49" w:rsidRDefault="00374D49">
      <w:pPr>
        <w:pStyle w:val="ListParagraph"/>
        <w:numPr>
          <w:ilvl w:val="0"/>
          <w:numId w:val="3"/>
        </w:numPr>
        <w:spacing w:after="120" w:line="276" w:lineRule="auto"/>
        <w:jc w:val="both"/>
      </w:pPr>
      <w:r>
        <w:rPr>
          <w:b/>
        </w:rPr>
        <w:t xml:space="preserve">Months 1 to 2: Baseline and modelling questions. </w:t>
      </w:r>
      <w:r>
        <w:t>Readiness review and definition of decision-use questions, refined into the eight domains aligned to NPHCDA decision needs set out in Section 3.</w:t>
      </w:r>
    </w:p>
    <w:p w14:paraId="00001B5D" w14:textId="77777777" w:rsidR="00374D49" w:rsidRDefault="00374D49">
      <w:pPr>
        <w:pStyle w:val="ListParagraph"/>
        <w:numPr>
          <w:ilvl w:val="0"/>
          <w:numId w:val="3"/>
        </w:numPr>
        <w:spacing w:after="120" w:line="276" w:lineRule="auto"/>
        <w:jc w:val="both"/>
      </w:pPr>
      <w:r>
        <w:rPr>
          <w:b/>
        </w:rPr>
        <w:t xml:space="preserve">Month 3: Capacity building. </w:t>
      </w:r>
      <w:r>
        <w:t>Structured self-learning, a virtual class, an in-person fellowship and competency testing for the selected national and subnational participants.</w:t>
      </w:r>
    </w:p>
    <w:p w14:paraId="00001B5E" w14:textId="77777777" w:rsidR="00374D49" w:rsidRDefault="00374D49">
      <w:pPr>
        <w:pStyle w:val="ListParagraph"/>
        <w:numPr>
          <w:ilvl w:val="0"/>
          <w:numId w:val="3"/>
        </w:numPr>
        <w:spacing w:after="120" w:line="276" w:lineRule="auto"/>
        <w:jc w:val="both"/>
      </w:pPr>
      <w:r>
        <w:rPr>
          <w:b/>
        </w:rPr>
        <w:t xml:space="preserve">Months 4 to 5: Applied modelling. </w:t>
      </w:r>
      <w:r>
        <w:t>Group mentorship, abstract development, model validation and production of the domain outputs, with abstract presentations converting model outputs into policy-facing products.</w:t>
      </w:r>
    </w:p>
    <w:p w14:paraId="00001B5F" w14:textId="77777777" w:rsidR="00374D49" w:rsidRDefault="00374D49">
      <w:pPr>
        <w:pStyle w:val="ListParagraph"/>
        <w:numPr>
          <w:ilvl w:val="0"/>
          <w:numId w:val="3"/>
        </w:numPr>
        <w:spacing w:after="120" w:line="276" w:lineRule="auto"/>
        <w:jc w:val="both"/>
      </w:pPr>
      <w:r>
        <w:rPr>
          <w:b/>
        </w:rPr>
        <w:t xml:space="preserve">Month 6: Endline, integration and handover. </w:t>
      </w:r>
      <w:r>
        <w:t>Delivery of the no-code application and ZARA, standard operating procedures and user guides, the endline assessment, and close-out.</w:t>
      </w:r>
    </w:p>
    <w:p w14:paraId="00001B60" w14:textId="77777777" w:rsidR="00374D49" w:rsidRDefault="00374D49">
      <w:pPr>
        <w:spacing w:after="200" w:line="276" w:lineRule="auto"/>
        <w:jc w:val="both"/>
        <w:rPr>
          <w:rFonts w:cs="Times New Roman"/>
        </w:rPr>
      </w:pPr>
      <w:r>
        <w:rPr>
          <w:rFonts w:cs="Times New Roman"/>
        </w:rPr>
        <w:t>The intended shift is from one-off training to a modelling workflow the agency runs in-house. Whether that shift holds is the question the readiness assessment in Section 6 is designed to answer.</w:t>
      </w:r>
    </w:p>
    <w:p w14:paraId="42F49CEB" w14:textId="77777777" w:rsidR="00355666" w:rsidRPr="00374D49" w:rsidRDefault="00355666" w:rsidP="00FD4A5B">
      <w:pPr>
        <w:pStyle w:val="Heading1"/>
        <w:spacing w:line="276" w:lineRule="auto"/>
      </w:pPr>
      <w:bookmarkStart w:id="8" w:name="_Toc233107574"/>
      <w:bookmarkStart w:id="9" w:name="_Toc242407905"/>
      <w:r>
        <w:t>2. Literature Review</w:t>
      </w:r>
      <w:bookmarkEnd w:id="8"/>
      <w:bookmarkEnd w:id="9"/>
    </w:p>
    <w:p w14:paraId="3D34B5A5" w14:textId="7777777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This review draws on evidence published up to mid-2026, focusing on the issues most directly relevant to the programme: the state of immunization systems globally and in Nigeria, developments in predictive modelling methods, and the factors that determine whether analytics capacity becomes sustainable institutional practice rather than a short-term project output.</w:t>
      </w:r>
    </w:p>
    <w:p w14:paraId="2A293F5A" w14:textId="77777777" w:rsidR="00355666" w:rsidRPr="00374D49" w:rsidRDefault="00355666" w:rsidP="00FD4A5B">
      <w:pPr>
        <w:pStyle w:val="Heading2"/>
        <w:spacing w:line="276" w:lineRule="auto"/>
      </w:pPr>
      <w:bookmarkStart w:id="10" w:name="_Toc233107575"/>
      <w:bookmarkStart w:id="11" w:name="_Toc242407906"/>
      <w:r>
        <w:t>2.1 Global and Nigerian Immunization Challenges</w:t>
      </w:r>
      <w:bookmarkEnd w:id="10"/>
      <w:bookmarkEnd w:id="11"/>
    </w:p>
    <w:p w14:paraId="0B703352" w14:textId="7E84206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Since the COVID-19 pandemic, global immunization has seen both recovery and continued difficulty. DTP3 coverage has returned to near pre-pandemic levels in many low- and middle-income countries, but gains are uneven, with fragile and conflict-affected settings lagging. Nigeria reflects these trends: national DTP3 has improved modestly, yet several northern states still record coverage below 40%. Measles, pertussis, and rotavirus gastroenteritis remain significant contributors to under-five mortality where services are weakest.</w:t>
      </w:r>
    </w:p>
    <w:p w14:paraId="6A6D792C" w14:textId="5AFCE93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Zero-dose children have become a central indicator of health-system reach and equity. Geographic analysis alone is insufficient; gender, ethnicity, socioeconomic status, and intersecting deprivation must also be considered. In Nigeria, although coverage has improved since 2018, inequities have widened, with unvaccinated children clustering in specific communities, wards, and disadvantaged groups increasingly in peri-urban and informal settlements as well as remote rural areas. In 2024, Nigeria was among the ten countries with the largest numbers of zero-dose children, recording an estimated 2.1 million DTP-unvaccinated and 3.1 million MCV-unvaccinated children.</w:t>
      </w:r>
    </w:p>
    <w:p w14:paraId="04CE8985" w14:textId="37C7786C"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lastRenderedPageBreak/>
        <w:t>The Immunization Agenda 2030 set targets of at least 90% national and 80% district-level coverage and a sharp reduction in zero-dose children. Nigeria, like many countries, remains off track. Closing the gap requires strategies capable of identifying and prioritising consistently missed children, which is precisely where predictive modelling has become relevant. Research in Nigeria and comparable settings shows machine-learning methods (random forests, gradient boosting, ridge classifiers) reliably identify high-risk facilities and communities from routine DHIS2 data, outperforming standard coverage-threshold approaches without requiring costly additional surveys.</w:t>
      </w:r>
    </w:p>
    <w:p w14:paraId="027E6273" w14:textId="338BF1B8" w:rsidR="00355666" w:rsidRPr="00374D49" w:rsidRDefault="00355666" w:rsidP="00FD4A5B">
      <w:pPr>
        <w:pStyle w:val="Heading2"/>
        <w:spacing w:line="276" w:lineRule="auto"/>
      </w:pPr>
      <w:bookmarkStart w:id="12" w:name="_Toc233107576"/>
      <w:bookmarkStart w:id="13" w:name="_Toc242407907"/>
      <w:r>
        <w:t>2.2 Data Quality, Access, and Logistics in Nigeria</w:t>
      </w:r>
      <w:bookmarkEnd w:id="12"/>
      <w:bookmarkEnd w:id="13"/>
    </w:p>
    <w:p w14:paraId="459392EB" w14:textId="1E3705CD"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scale-up of DHIS2 has materially improved the timeliness and completeness of routine immunization data, with reporting completeness above 80% in many states by 2019, though variation persists at the LGA and ward levels. Denominator accuracy remains a core challenge: discrepancies between 2006-census projections and field headcounts produce over- or under-estimates of coverage. Electronic registries, supervisory verification, community-based surveillance, and data-triangulation methods (including LQAS) have been introduced in priority states to validate figures.</w:t>
      </w:r>
    </w:p>
    <w:p w14:paraId="4978239B" w14:textId="39CE57EB"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On the supply side, expanded fixed sites, outreach and mobile teams, and emergency posts in conflict-affected areas have improved physical access. Demand-side barriers persist, including mistrust and misinformation in parts of the north; social mobilization, engagement with religious and traditional leaders, and community health influencers have shifted perceptions, while caregiver autonomy and the availability of female health workers shape uptake in conservative communities. Cold-chain investments, such as solar refrigerators, electronic temperature monitoring, and EVM assessments, have reduced failures, though maintenance gaps and last-mile transport remain constraints, especially in Borno, Zamfara, and Kebbi.</w:t>
      </w:r>
    </w:p>
    <w:p w14:paraId="20FAC0CF" w14:textId="77777777" w:rsidR="00355666" w:rsidRPr="00374D49" w:rsidRDefault="00355666" w:rsidP="00FD4A5B">
      <w:pPr>
        <w:pStyle w:val="Heading2"/>
        <w:spacing w:line="276" w:lineRule="auto"/>
      </w:pPr>
      <w:bookmarkStart w:id="14" w:name="_Toc233107577"/>
      <w:bookmarkStart w:id="15" w:name="_Toc242407908"/>
      <w:r>
        <w:t>2.3 Predictive Modelling in Sub-Saharan Africa</w:t>
      </w:r>
      <w:bookmarkEnd w:id="14"/>
      <w:bookmarkEnd w:id="15"/>
    </w:p>
    <w:p w14:paraId="4EC39453" w14:textId="3C0FAC6F"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Across the region, forecasting models for demand, outbreak-risk stratification, and coverage estimation increasingly shape strategic planning and resource allocation. Countries that have invested systematically tend to show superior, more consistent coverage. Rwanda is the most comprehensive regional example: forecasting integrated into its supply chain and district information system has helped sustain DTP3 and measles coverage above 90% and reduce zero-dose in hard-to-reach areas. Kenya and Senegal are developing outbreak-response risk-stratification models linked to surveillance. By contrast, settings with less consolidated data systems show volatile coverage and high urban-rural disparity.</w:t>
      </w:r>
    </w:p>
    <w:p w14:paraId="401E06CC" w14:textId="405704E7"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Key transferable lessons recur: data-quality improvement is a prerequisite for reliable modelling; supply-chain managers and health workers must be engaged in model design so outputs are actionable; phased rather than system-wide rollout works better; and clear data-governance frameworks are essential. Nigeria's adoption of the GRID3 platform underscores the value of subnational calibration in heterogeneous contexts and of public-private data partnerships. The clear implication is that predictive capability must be built into institutional structures, namely routine planning processes, dedicated analytics units, and information-system procurement, rather than added as an afterthought.</w:t>
      </w:r>
    </w:p>
    <w:p w14:paraId="5AF7A75C" w14:textId="77777777" w:rsidR="00355666" w:rsidRPr="00374D49" w:rsidRDefault="00355666" w:rsidP="00FD4A5B">
      <w:pPr>
        <w:pStyle w:val="Heading2"/>
        <w:spacing w:line="276" w:lineRule="auto"/>
      </w:pPr>
      <w:bookmarkStart w:id="16" w:name="_Toc233107578"/>
      <w:bookmarkStart w:id="17" w:name="_Toc242407909"/>
      <w:r>
        <w:lastRenderedPageBreak/>
        <w:t>2.4 Outcomes and Challenges of Modelling Application</w:t>
      </w:r>
      <w:bookmarkEnd w:id="16"/>
      <w:bookmarkEnd w:id="17"/>
    </w:p>
    <w:p w14:paraId="69DC59CC" w14:textId="436CB943"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In Nigeria, UNICEF and partners have piloted data-driven models for zero-dose identification, vaccine distribution, and outbreak risk, drawing on administrative data, surveys, satellite-derived environmental measures, and mobile-network data. Uptake has been uneven, concentrated where data infrastructure and technical capacity are strongest. Geospatial risk maps have helped target outreach to the highest-risk wards. Implementation studies show modelling identifies zero-dose children more accurately and earlier than administrative data alone, and supports outbreak preparedness for measles and meningitis by guiding the timing and extent of campaigns. Cost-effectiveness work in LMICs suggests data-driven allocation can achieve materially more coverage per unit of resource.</w:t>
      </w:r>
    </w:p>
    <w:p w14:paraId="043960A4" w14:textId="34E80D1C" w:rsidR="007F0FA1"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The barriers are equally well documented. Data quality and availability are the most fundamental: model accuracy depends directly on completeness, consistency, and granularity, and gaps in reporting, inconsistent denominators, and limited survey data reduce reliability and erode manager confidence. Technical-capacity constraints limit the interpretation of complex outputs at subnational levels. Institutional barriers, including limited buy-in, weak integration into formal planning, and competing priorities, constrain the translation of insight into action. Addressing these requires sustained capacity-building, data-system strengthening, and institutional change management alongside the technical work itself. This is the precise gap the readiness assessment in Section 6 is designed to measure.</w:t>
      </w:r>
    </w:p>
    <w:p w14:paraId="456DDE18" w14:textId="283D3272" w:rsidR="00355666" w:rsidRPr="00374D49" w:rsidRDefault="00355666" w:rsidP="00FD4A5B">
      <w:pPr>
        <w:spacing w:after="140" w:line="276" w:lineRule="auto"/>
        <w:jc w:val="both"/>
        <w:rPr>
          <w:rFonts w:cs="Times New Roman"/>
          <w:color w:val="000000" w:themeColor="text1"/>
          <w:szCs w:val="24"/>
        </w:rPr>
      </w:pPr>
    </w:p>
    <w:p w14:paraId="25C05A23" w14:textId="5332235C" w:rsidR="00355666" w:rsidRPr="00374D49" w:rsidRDefault="00355666" w:rsidP="00FD4A5B">
      <w:pPr>
        <w:pStyle w:val="Heading1"/>
        <w:spacing w:line="276" w:lineRule="auto"/>
      </w:pPr>
      <w:r>
        <w:br w:type="page"/>
      </w:r>
      <w:bookmarkStart w:id="18" w:name="_Toc242407910"/>
      <w:r>
        <w:lastRenderedPageBreak/>
        <w:t>3. Modelling Domains and Research Questions</w:t>
      </w:r>
      <w:bookmarkEnd w:id="18"/>
    </w:p>
    <w:p w14:paraId="5F4EB739" w14:textId="458CF7A8" w:rsidR="00355666" w:rsidRPr="00374D49" w:rsidRDefault="00355666" w:rsidP="00FD4A5B">
      <w:pPr>
        <w:spacing w:after="140" w:line="276" w:lineRule="auto"/>
        <w:jc w:val="both"/>
        <w:rPr>
          <w:rFonts w:cs="Times New Roman"/>
          <w:color w:val="000000" w:themeColor="text1"/>
          <w:szCs w:val="24"/>
        </w:rPr>
      </w:pPr>
      <w:r>
        <w:rPr>
          <w:rFonts w:cs="Times New Roman"/>
          <w:color w:val="000000" w:themeColor="text1"/>
          <w:szCs w:val="24"/>
        </w:rPr>
        <w:t>Seven of the eight framework domains are reported here. Domain 8 (RI campaign design, counterfactual scenario modelling, and budget-constrained optimization) is the planned next phase and awaits the programme and expenditure data required for cost-effectiveness analysis.</w:t>
      </w:r>
    </w:p>
    <w:p w14:paraId="5969E134" w14:textId="40DD7A1B" w:rsidR="00203D70" w:rsidRPr="00374D49" w:rsidRDefault="00203D70" w:rsidP="00FD4A5B">
      <w:pPr>
        <w:pStyle w:val="MyTables"/>
        <w:spacing w:line="276" w:lineRule="auto"/>
      </w:pPr>
      <w:bookmarkStart w:id="19" w:name="_Toc242407962"/>
      <w:r>
        <w:t>Table 1: Modeling Domains and Research Questions</w:t>
      </w:r>
      <w:bookmarkEnd w:id="19"/>
    </w:p>
    <w:tbl>
      <w:tblPr>
        <w:tblStyle w:val="PlainTable5"/>
        <w:tblW w:w="9360" w:type="dxa"/>
        <w:tblLook w:val="04A0" w:firstRow="1" w:lastRow="0" w:firstColumn="1" w:lastColumn="0" w:noHBand="0" w:noVBand="1"/>
      </w:tblPr>
      <w:tblGrid>
        <w:gridCol w:w="500"/>
        <w:gridCol w:w="2300"/>
        <w:gridCol w:w="6560"/>
      </w:tblGrid>
      <w:tr w:rsidR="00203D70" w:rsidRPr="00374D49" w14:paraId="5DCDC16D"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500" w:type="dxa"/>
          </w:tcPr>
          <w:p w14:paraId="69D7DC9F" w14:textId="77777777" w:rsidR="00355666" w:rsidRPr="00374D49" w:rsidRDefault="00355666" w:rsidP="00FD4A5B">
            <w:pPr>
              <w:keepNext/>
              <w:spacing w:line="276" w:lineRule="auto"/>
              <w:jc w:val="both"/>
              <w:rPr>
                <w:rFonts w:cs="Times New Roman"/>
                <w:color w:val="000000" w:themeColor="text1"/>
                <w:szCs w:val="24"/>
              </w:rPr>
            </w:pPr>
            <w:r>
              <w:rPr>
                <w:rFonts w:cs="Times New Roman"/>
                <w:b/>
                <w:bCs/>
                <w:color w:val="000000" w:themeColor="text1"/>
                <w:szCs w:val="24"/>
              </w:rPr>
              <w:t>#</w:t>
            </w:r>
          </w:p>
        </w:tc>
        <w:tc>
          <w:tcPr>
            <w:tcW w:w="2300" w:type="dxa"/>
          </w:tcPr>
          <w:p w14:paraId="1937B494"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w:t>
            </w:r>
          </w:p>
        </w:tc>
        <w:tc>
          <w:tcPr>
            <w:tcW w:w="6560" w:type="dxa"/>
          </w:tcPr>
          <w:p w14:paraId="09174C10" w14:textId="77777777" w:rsidR="00355666" w:rsidRPr="00374D49" w:rsidRDefault="00355666"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Research question (status)</w:t>
            </w:r>
          </w:p>
        </w:tc>
      </w:tr>
      <w:tr w:rsidR="00203D70" w:rsidRPr="00374D49" w14:paraId="693E5FE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3982549B"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300" w:type="dxa"/>
          </w:tcPr>
          <w:p w14:paraId="57F48843"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Antigen coverage forecasting</w:t>
            </w:r>
          </w:p>
        </w:tc>
        <w:tc>
          <w:tcPr>
            <w:tcW w:w="6560" w:type="dxa"/>
          </w:tcPr>
          <w:p w14:paraId="5B1C56E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antigens are projected to fall below targets in the next 6–12 months at LGA/ward level? (Completed)</w:t>
            </w:r>
          </w:p>
        </w:tc>
      </w:tr>
      <w:tr w:rsidR="00203D70" w:rsidRPr="00374D49" w14:paraId="64E3A33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18F1795C"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300" w:type="dxa"/>
          </w:tcPr>
          <w:p w14:paraId="02C97580"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continuity / dropout</w:t>
            </w:r>
          </w:p>
        </w:tc>
        <w:tc>
          <w:tcPr>
            <w:tcW w:w="6560" w:type="dxa"/>
          </w:tcPr>
          <w:p w14:paraId="05AD5006"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What are predicted dropout rates between key antigen pairs, and what drives incomplete vaccination? (Completed)</w:t>
            </w:r>
          </w:p>
        </w:tc>
      </w:tr>
      <w:tr w:rsidR="00203D70" w:rsidRPr="00374D49" w14:paraId="212C4BB6"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0BF945D2"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300" w:type="dxa"/>
          </w:tcPr>
          <w:p w14:paraId="74F85377"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Equity &amp; zero-dose stratification</w:t>
            </w:r>
          </w:p>
        </w:tc>
        <w:tc>
          <w:tcPr>
            <w:tcW w:w="6560" w:type="dxa"/>
          </w:tcPr>
          <w:p w14:paraId="75A6F5B0"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How does coverage and zero-dose risk vary by location, poverty, maternal education and HTR status? (Completed)</w:t>
            </w:r>
          </w:p>
        </w:tc>
      </w:tr>
      <w:tr w:rsidR="00203D70" w:rsidRPr="00374D49" w14:paraId="42C0CDC2"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3B6158D0"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300" w:type="dxa"/>
          </w:tcPr>
          <w:p w14:paraId="2098F948"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Hesitancy &amp; behaviour</w:t>
            </w:r>
          </w:p>
        </w:tc>
        <w:tc>
          <w:tcPr>
            <w:tcW w:w="6560" w:type="dxa"/>
          </w:tcPr>
          <w:p w14:paraId="27A01134"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To what extent is hesitancy contributing to shortfalls, and how do patterns shift? (Completed)</w:t>
            </w:r>
          </w:p>
        </w:tc>
      </w:tr>
      <w:tr w:rsidR="00203D70" w:rsidRPr="00374D49" w14:paraId="71B52EC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79A26B7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300" w:type="dxa"/>
          </w:tcPr>
          <w:p w14:paraId="67015B7E"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Zero-dose modelling &amp; hotspots</w:t>
            </w:r>
          </w:p>
        </w:tc>
        <w:tc>
          <w:tcPr>
            <w:tcW w:w="6560" w:type="dxa"/>
          </w:tcPr>
          <w:p w14:paraId="3A1FD182"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Where do zero-dose children concentrate, and what archetypes explain it? (Completed)</w:t>
            </w:r>
          </w:p>
        </w:tc>
      </w:tr>
      <w:tr w:rsidR="00203D70" w:rsidRPr="00374D49" w14:paraId="0C5249A4"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ED19915"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2300" w:type="dxa"/>
          </w:tcPr>
          <w:p w14:paraId="59EAAB65"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Polio mapping &amp; interruption</w:t>
            </w:r>
          </w:p>
        </w:tc>
        <w:tc>
          <w:tcPr>
            <w:tcW w:w="6560" w:type="dxa"/>
          </w:tcPr>
          <w:p w14:paraId="1ABE29B2" w14:textId="77777777" w:rsidR="00355666" w:rsidRPr="00374D49" w:rsidRDefault="00355666"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polio, and what is the interruption pathway? (Completed)</w:t>
            </w:r>
          </w:p>
        </w:tc>
      </w:tr>
      <w:tr w:rsidR="00203D70" w:rsidRPr="00374D49" w14:paraId="6D82B73A"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00" w:type="dxa"/>
          </w:tcPr>
          <w:p w14:paraId="4BDFBFFD" w14:textId="77777777" w:rsidR="00355666" w:rsidRPr="00374D49" w:rsidRDefault="00355666" w:rsidP="00FD4A5B">
            <w:pPr>
              <w:keepNext/>
              <w:spacing w:line="276" w:lineRule="auto"/>
              <w:jc w:val="both"/>
              <w:rPr>
                <w:rFonts w:cs="Times New Roman"/>
                <w:color w:val="000000" w:themeColor="text1"/>
                <w:szCs w:val="24"/>
              </w:rPr>
            </w:pPr>
            <w:r>
              <w:rPr>
                <w:rFonts w:cs="Times New Roman"/>
                <w:color w:val="000000" w:themeColor="text1"/>
                <w:szCs w:val="24"/>
              </w:rPr>
              <w:t>7</w:t>
            </w:r>
          </w:p>
        </w:tc>
        <w:tc>
          <w:tcPr>
            <w:tcW w:w="2300" w:type="dxa"/>
          </w:tcPr>
          <w:p w14:paraId="61D53B94"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Surveillance &amp; outbreak risk</w:t>
            </w:r>
          </w:p>
        </w:tc>
        <w:tc>
          <w:tcPr>
            <w:tcW w:w="6560" w:type="dxa"/>
          </w:tcPr>
          <w:p w14:paraId="4C5B8178" w14:textId="77777777" w:rsidR="00355666" w:rsidRPr="00374D49" w:rsidRDefault="00355666"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areas are highest-risk for VPD outbreaks given coverage gaps? (Completed, GBD 2023 proxy)</w:t>
            </w:r>
          </w:p>
        </w:tc>
      </w:tr>
      <w:tr w:rsidR="00203D70" w:rsidRPr="00374D49" w14:paraId="0FF54FB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500" w:type="dxa"/>
          </w:tcPr>
          <w:p w14:paraId="4ABC15B8" w14:textId="77777777" w:rsidR="00355666" w:rsidRPr="00374D49" w:rsidRDefault="00355666" w:rsidP="00FD4A5B">
            <w:pPr>
              <w:spacing w:line="276" w:lineRule="auto"/>
              <w:jc w:val="both"/>
              <w:rPr>
                <w:rFonts w:cs="Times New Roman"/>
                <w:color w:val="000000" w:themeColor="text1"/>
                <w:szCs w:val="24"/>
              </w:rPr>
            </w:pPr>
            <w:r>
              <w:rPr>
                <w:rFonts w:cs="Times New Roman"/>
                <w:color w:val="000000" w:themeColor="text1"/>
                <w:szCs w:val="24"/>
              </w:rPr>
              <w:t>8</w:t>
            </w:r>
          </w:p>
        </w:tc>
        <w:tc>
          <w:tcPr>
            <w:tcW w:w="2300" w:type="dxa"/>
          </w:tcPr>
          <w:p w14:paraId="2C9A122E"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Campaign design &amp; effectiveness</w:t>
            </w:r>
          </w:p>
        </w:tc>
        <w:tc>
          <w:tcPr>
            <w:tcW w:w="6560" w:type="dxa"/>
          </w:tcPr>
          <w:p w14:paraId="2DB83C7D" w14:textId="77777777" w:rsidR="00355666" w:rsidRPr="00374D49" w:rsidRDefault="00355666"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Which states/LGAs to prioritize; access, demand or supply? (Planned next phase)</w:t>
            </w:r>
          </w:p>
        </w:tc>
      </w:tr>
    </w:tbl>
    <w:p w14:paraId="5F25D082" w14:textId="77777777" w:rsidR="00203D70" w:rsidRPr="00374D49" w:rsidRDefault="00203D70" w:rsidP="00FD4A5B">
      <w:pPr>
        <w:pStyle w:val="Heading1"/>
        <w:spacing w:line="276" w:lineRule="auto"/>
      </w:pPr>
      <w:bookmarkStart w:id="20" w:name="_Toc233107579"/>
    </w:p>
    <w:p w14:paraId="146FAF09" w14:textId="77777777" w:rsidR="00203D70" w:rsidRPr="00374D49" w:rsidRDefault="00203D70" w:rsidP="00FD4A5B">
      <w:pPr>
        <w:spacing w:line="276" w:lineRule="auto"/>
        <w:rPr>
          <w:rFonts w:eastAsiaTheme="majorEastAsia" w:cs="Times New Roman"/>
          <w:b/>
          <w:color w:val="000000" w:themeColor="text1"/>
          <w:sz w:val="32"/>
          <w:szCs w:val="24"/>
        </w:rPr>
      </w:pPr>
      <w:r>
        <w:rPr>
          <w:rFonts w:cs="Times New Roman"/>
          <w:color w:val="000000" w:themeColor="text1"/>
        </w:rPr>
        <w:br w:type="page"/>
      </w:r>
    </w:p>
    <w:p w14:paraId="0C6CE389" w14:textId="66A0A9D6" w:rsidR="00F81F18" w:rsidRPr="00374D49" w:rsidRDefault="00F81F18" w:rsidP="00FD4A5B">
      <w:pPr>
        <w:pStyle w:val="Heading1"/>
        <w:spacing w:line="276" w:lineRule="auto"/>
      </w:pPr>
      <w:bookmarkStart w:id="21" w:name="_Toc242407911"/>
      <w:r>
        <w:lastRenderedPageBreak/>
        <w:t xml:space="preserve">4. </w:t>
      </w:r>
      <w:bookmarkEnd w:id="20"/>
      <w:r>
        <w:t>Methodology including Data Sources</w:t>
      </w:r>
      <w:bookmarkEnd w:id="21"/>
    </w:p>
    <w:p w14:paraId="4861B458" w14:textId="455413B7"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The methodology including data analysis integrates NPHCDA-provided datasets with additional sources that the consortium curated. All models are reproducible from the consortium's analytical notebooks, and the analyses are operationalized in a live, no-code web application that the NPHCDA Digital Innovation Hub can run on uploaded data.</w:t>
      </w:r>
    </w:p>
    <w:p w14:paraId="675068EF" w14:textId="77777777" w:rsidR="00F81F18" w:rsidRPr="00374D49" w:rsidRDefault="00F81F18" w:rsidP="00FD4A5B">
      <w:pPr>
        <w:pStyle w:val="Heading2"/>
        <w:spacing w:line="276" w:lineRule="auto"/>
      </w:pPr>
      <w:bookmarkStart w:id="22" w:name="_Toc233107580"/>
      <w:bookmarkStart w:id="23" w:name="_Toc242407912"/>
      <w:r>
        <w:t>4.1 Principal Datasets</w:t>
      </w:r>
      <w:bookmarkEnd w:id="22"/>
      <w:bookmarkEnd w:id="23"/>
    </w:p>
    <w:p w14:paraId="573C7869" w14:textId="54EDE14A" w:rsidR="00203D70" w:rsidRPr="00374D49" w:rsidRDefault="00203D70" w:rsidP="00FD4A5B">
      <w:pPr>
        <w:pStyle w:val="MyTables"/>
        <w:keepNext/>
        <w:spacing w:line="276" w:lineRule="auto"/>
      </w:pPr>
      <w:bookmarkStart w:id="24" w:name="_Toc242407963"/>
      <w:r>
        <w:t>Table 2. Principal Datasets Mapped to the Domains They Feed</w:t>
      </w:r>
      <w:bookmarkEnd w:id="24"/>
    </w:p>
    <w:tbl>
      <w:tblPr>
        <w:tblStyle w:val="PlainTable5"/>
        <w:tblW w:w="9360" w:type="dxa"/>
        <w:tblLook w:val="04A0" w:firstRow="1" w:lastRow="0" w:firstColumn="1" w:lastColumn="0" w:noHBand="0" w:noVBand="1"/>
      </w:tblPr>
      <w:tblGrid>
        <w:gridCol w:w="2500"/>
        <w:gridCol w:w="5360"/>
        <w:gridCol w:w="1500"/>
      </w:tblGrid>
      <w:tr w:rsidR="00203D70" w:rsidRPr="00374D49" w14:paraId="2FB58EB6"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500" w:type="dxa"/>
          </w:tcPr>
          <w:p w14:paraId="12D69848" w14:textId="77777777" w:rsidR="00F81F18" w:rsidRPr="00374D49" w:rsidRDefault="00F81F18" w:rsidP="00FD4A5B">
            <w:pPr>
              <w:spacing w:line="276" w:lineRule="auto"/>
              <w:jc w:val="both"/>
              <w:rPr>
                <w:rFonts w:cs="Times New Roman"/>
                <w:color w:val="000000" w:themeColor="text1"/>
                <w:szCs w:val="24"/>
              </w:rPr>
            </w:pPr>
            <w:r>
              <w:rPr>
                <w:rFonts w:cs="Times New Roman"/>
                <w:b/>
                <w:bCs/>
                <w:color w:val="000000" w:themeColor="text1"/>
                <w:szCs w:val="24"/>
              </w:rPr>
              <w:t>Dataset</w:t>
            </w:r>
          </w:p>
        </w:tc>
        <w:tc>
          <w:tcPr>
            <w:tcW w:w="5360" w:type="dxa"/>
          </w:tcPr>
          <w:p w14:paraId="4D9CB482"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Description</w:t>
            </w:r>
          </w:p>
        </w:tc>
        <w:tc>
          <w:tcPr>
            <w:tcW w:w="1500" w:type="dxa"/>
          </w:tcPr>
          <w:p w14:paraId="0FC5BB77" w14:textId="77777777" w:rsidR="00F81F18" w:rsidRPr="00374D49" w:rsidRDefault="00F81F1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Domains</w:t>
            </w:r>
          </w:p>
        </w:tc>
      </w:tr>
      <w:tr w:rsidR="00203D70" w:rsidRPr="00374D49" w14:paraId="52A722C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330A4B9"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DHIS2 routine RI</w:t>
            </w:r>
          </w:p>
        </w:tc>
        <w:tc>
          <w:tcPr>
            <w:tcW w:w="5360" w:type="dxa"/>
          </w:tcPr>
          <w:p w14:paraId="5C2C276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Monthly administrative dose counts, all states, 2021–2025</w:t>
            </w:r>
          </w:p>
        </w:tc>
        <w:tc>
          <w:tcPr>
            <w:tcW w:w="1500" w:type="dxa"/>
          </w:tcPr>
          <w:p w14:paraId="24F12863"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1, 2, 5</w:t>
            </w:r>
          </w:p>
        </w:tc>
      </w:tr>
      <w:tr w:rsidR="00203D70" w:rsidRPr="00374D49" w14:paraId="4C805930"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70ECEFD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NDHS 2008–2024</w:t>
            </w:r>
          </w:p>
        </w:tc>
        <w:tc>
          <w:tcPr>
            <w:tcW w:w="5360" w:type="dxa"/>
          </w:tcPr>
          <w:p w14:paraId="4CBA3857"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Survey DTP1 coverage and zero-dose, 12–23-month cohort</w:t>
            </w:r>
          </w:p>
        </w:tc>
        <w:tc>
          <w:tcPr>
            <w:tcW w:w="1500" w:type="dxa"/>
          </w:tcPr>
          <w:p w14:paraId="1F1039A6"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1, 3, 4, 5</w:t>
            </w:r>
          </w:p>
        </w:tc>
      </w:tr>
      <w:tr w:rsidR="00203D70" w:rsidRPr="00374D49" w14:paraId="1AF06FCB"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72EA7601"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Zero-dose master dataset</w:t>
            </w:r>
          </w:p>
        </w:tc>
        <w:tc>
          <w:tcPr>
            <w:tcW w:w="5360" w:type="dxa"/>
          </w:tcPr>
          <w:p w14:paraId="27BDEFF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37-state file: NDHS coverage plus 30+ predictors</w:t>
            </w:r>
          </w:p>
        </w:tc>
        <w:tc>
          <w:tcPr>
            <w:tcW w:w="1500" w:type="dxa"/>
          </w:tcPr>
          <w:p w14:paraId="3CAB83EA"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2, 3, 4, 5</w:t>
            </w:r>
          </w:p>
        </w:tc>
      </w:tr>
      <w:tr w:rsidR="00203D70" w:rsidRPr="00374D49" w14:paraId="2521DFE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4FD72AD"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NPHCDA ACSM register</w:t>
            </w:r>
          </w:p>
        </w:tc>
        <w:tc>
          <w:tcPr>
            <w:tcW w:w="5360" w:type="dxa"/>
          </w:tcPr>
          <w:p w14:paraId="5A25059A"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2,593 social-mobilization activities, 36 states</w:t>
            </w:r>
          </w:p>
        </w:tc>
        <w:tc>
          <w:tcPr>
            <w:tcW w:w="1500" w:type="dxa"/>
          </w:tcPr>
          <w:p w14:paraId="5954CBF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r>
      <w:tr w:rsidR="00203D70" w:rsidRPr="00374D49" w14:paraId="48D8309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1F988A73"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Equity indicators</w:t>
            </w:r>
          </w:p>
        </w:tc>
        <w:tc>
          <w:tcPr>
            <w:tcW w:w="5360" w:type="dxa"/>
          </w:tcPr>
          <w:p w14:paraId="3A042137"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Wealth, education, HTR-distance, urbanicity by state</w:t>
            </w:r>
          </w:p>
        </w:tc>
        <w:tc>
          <w:tcPr>
            <w:tcW w:w="1500" w:type="dxa"/>
          </w:tcPr>
          <w:p w14:paraId="4B7B00B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4F46687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28CE1510"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GRID3 boundaries</w:t>
            </w:r>
          </w:p>
        </w:tc>
        <w:tc>
          <w:tcPr>
            <w:tcW w:w="5360" w:type="dxa"/>
          </w:tcPr>
          <w:p w14:paraId="050ABD5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admin1/admin2 spatial layers</w:t>
            </w:r>
          </w:p>
        </w:tc>
        <w:tc>
          <w:tcPr>
            <w:tcW w:w="1500" w:type="dxa"/>
          </w:tcPr>
          <w:p w14:paraId="080F5542"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3, 5, 6</w:t>
            </w:r>
          </w:p>
        </w:tc>
      </w:tr>
      <w:tr w:rsidR="00203D70" w:rsidRPr="00374D49" w14:paraId="58001FE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5B23875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AFP national line list</w:t>
            </w:r>
          </w:p>
        </w:tc>
        <w:tc>
          <w:tcPr>
            <w:tcW w:w="5360" w:type="dxa"/>
          </w:tcPr>
          <w:p w14:paraId="7D0CA93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~103,000 surveillance records, 2015–2025</w:t>
            </w:r>
          </w:p>
        </w:tc>
        <w:tc>
          <w:tcPr>
            <w:tcW w:w="1500" w:type="dxa"/>
          </w:tcPr>
          <w:p w14:paraId="69C57AAD"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w:t>
            </w:r>
          </w:p>
        </w:tc>
      </w:tr>
      <w:tr w:rsidR="00203D70" w:rsidRPr="00374D49" w14:paraId="6CA809CE"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17D3DD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GBD 2023</w:t>
            </w:r>
          </w:p>
        </w:tc>
        <w:tc>
          <w:tcPr>
            <w:tcW w:w="5360" w:type="dxa"/>
          </w:tcPr>
          <w:p w14:paraId="35D9949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under-5 cause-of-death fractions (proxy)</w:t>
            </w:r>
          </w:p>
        </w:tc>
        <w:tc>
          <w:tcPr>
            <w:tcW w:w="1500" w:type="dxa"/>
          </w:tcPr>
          <w:p w14:paraId="77254A80"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w:t>
            </w:r>
          </w:p>
        </w:tc>
      </w:tr>
      <w:tr w:rsidR="00203D70" w:rsidRPr="00374D49" w14:paraId="5487B1CC"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58D270A"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LGA population (NPC 2022)</w:t>
            </w:r>
          </w:p>
        </w:tc>
        <w:tc>
          <w:tcPr>
            <w:tcW w:w="5360" w:type="dxa"/>
          </w:tcPr>
          <w:p w14:paraId="131F603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Distributes state cohort across 774 LGAs</w:t>
            </w:r>
          </w:p>
        </w:tc>
        <w:tc>
          <w:tcPr>
            <w:tcW w:w="1500" w:type="dxa"/>
          </w:tcPr>
          <w:p w14:paraId="35BAA63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r>
      <w:tr w:rsidR="00203D70" w:rsidRPr="00374D49" w14:paraId="4ED52AAB"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0AD9C707"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NmDHS 2025-26</w:t>
            </w:r>
          </w:p>
        </w:tc>
        <w:tc>
          <w:tcPr>
            <w:tcW w:w="5360" w:type="dxa"/>
          </w:tcPr>
          <w:p w14:paraId="5FB4FC08"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National mini survey released after this work concluded; out-of-sample check</w:t>
            </w:r>
          </w:p>
        </w:tc>
        <w:tc>
          <w:tcPr>
            <w:tcW w:w="1500" w:type="dxa"/>
          </w:tcPr>
          <w:p w14:paraId="3D35AA5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2AD80CD8"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62D2B225"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IHME Local Burden of Disease</w:t>
            </w:r>
          </w:p>
        </w:tc>
        <w:tc>
          <w:tcPr>
            <w:tcW w:w="5360" w:type="dxa"/>
          </w:tcPr>
          <w:p w14:paraId="48090EFB"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DTP1 admin-2 coverage surface, 2000–2018; independent LGA comparator</w:t>
            </w:r>
          </w:p>
        </w:tc>
        <w:tc>
          <w:tcPr>
            <w:tcW w:w="1500" w:type="dxa"/>
          </w:tcPr>
          <w:p w14:paraId="1E908F59"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Validation</w:t>
            </w:r>
          </w:p>
        </w:tc>
      </w:tr>
      <w:tr w:rsidR="00203D70" w:rsidRPr="00374D49" w14:paraId="753505A8"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3D718732"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WorldPop</w:t>
            </w:r>
          </w:p>
        </w:tc>
        <w:tc>
          <w:tcPr>
            <w:tcW w:w="5360" w:type="dxa"/>
          </w:tcPr>
          <w:p w14:paraId="475C6301"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 population surfaces used with NPC 2022 for absolute-burden conversion</w:t>
            </w:r>
          </w:p>
        </w:tc>
        <w:tc>
          <w:tcPr>
            <w:tcW w:w="1500" w:type="dxa"/>
          </w:tcPr>
          <w:p w14:paraId="3E4EEF09"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1, 4, 5, 7</w:t>
            </w:r>
          </w:p>
        </w:tc>
      </w:tr>
      <w:tr w:rsidR="00203D70" w:rsidRPr="00374D49" w14:paraId="6FCE83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0E26F29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Meta Relative Wealth Index</w:t>
            </w:r>
          </w:p>
        </w:tc>
        <w:tc>
          <w:tcPr>
            <w:tcW w:w="5360" w:type="dxa"/>
          </w:tcPr>
          <w:p w14:paraId="07368985"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LGA-level wealth covariate for deprivation index and archetypes</w:t>
            </w:r>
          </w:p>
        </w:tc>
        <w:tc>
          <w:tcPr>
            <w:tcW w:w="1500" w:type="dxa"/>
          </w:tcPr>
          <w:p w14:paraId="524658E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5319D93F"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2500" w:type="dxa"/>
          </w:tcPr>
          <w:p w14:paraId="60919B7C"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Weiss travel-time surface</w:t>
            </w:r>
          </w:p>
        </w:tc>
        <w:tc>
          <w:tcPr>
            <w:tcW w:w="5360" w:type="dxa"/>
          </w:tcPr>
          <w:p w14:paraId="4D06E00D"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Motorised travel time to nearest facility; remoteness covariate</w:t>
            </w:r>
          </w:p>
        </w:tc>
        <w:tc>
          <w:tcPr>
            <w:tcW w:w="1500" w:type="dxa"/>
          </w:tcPr>
          <w:p w14:paraId="1BCE442B" w14:textId="77777777" w:rsidR="00F81F18" w:rsidRPr="00374D49" w:rsidRDefault="00F81F1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r w:rsidR="00203D70" w:rsidRPr="00374D49" w14:paraId="73A949FE"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dxa"/>
          </w:tcPr>
          <w:p w14:paraId="21B0257F"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ACLED</w:t>
            </w:r>
          </w:p>
        </w:tc>
        <w:tc>
          <w:tcPr>
            <w:tcW w:w="5360" w:type="dxa"/>
          </w:tcPr>
          <w:p w14:paraId="7D9B4A48"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Political-violence event and fatality counts; conflict covariate</w:t>
            </w:r>
          </w:p>
        </w:tc>
        <w:tc>
          <w:tcPr>
            <w:tcW w:w="1500" w:type="dxa"/>
          </w:tcPr>
          <w:p w14:paraId="497DA17E"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3, 5</w:t>
            </w:r>
          </w:p>
        </w:tc>
      </w:tr>
    </w:tbl>
    <w:p w14:paraId="4D882B0A" w14:textId="77777777" w:rsidR="00203D70" w:rsidRPr="00374D49" w:rsidRDefault="00203D70" w:rsidP="00FD4A5B">
      <w:pPr>
        <w:pStyle w:val="Heading2"/>
        <w:spacing w:line="276" w:lineRule="auto"/>
      </w:pPr>
      <w:bookmarkStart w:id="25" w:name="_Toc233107581"/>
    </w:p>
    <w:p w14:paraId="0D17F3F1" w14:textId="46B29EF0" w:rsidR="00203D70" w:rsidRPr="00374D49" w:rsidRDefault="00203D70" w:rsidP="00FD4A5B">
      <w:pPr>
        <w:spacing w:line="276" w:lineRule="auto"/>
        <w:jc w:val="both"/>
        <w:rPr>
          <w:rFonts w:cs="Times New Roman"/>
          <w:i/>
          <w:iCs/>
          <w:sz w:val="18"/>
          <w:szCs w:val="16"/>
        </w:rPr>
      </w:pPr>
      <w:r>
        <w:rPr>
          <w:rFonts w:cs="Times New Roman"/>
          <w:i/>
          <w:iCs/>
          <w:sz w:val="18"/>
          <w:szCs w:val="16"/>
        </w:rPr>
        <w:t>Pending from NPHCDA: IDSR/NCDC surveillance line-lists (Domain 7) and programme/expenditure data (Domain 8).</w:t>
      </w:r>
    </w:p>
    <w:p w14:paraId="7D5AFDD7" w14:textId="77777777" w:rsidR="00203D70" w:rsidRPr="00374D49" w:rsidRDefault="00203D70" w:rsidP="00FD4A5B">
      <w:pPr>
        <w:spacing w:line="276" w:lineRule="auto"/>
        <w:rPr>
          <w:rFonts w:eastAsiaTheme="majorEastAsia" w:cs="Times New Roman"/>
          <w:b/>
          <w:color w:val="000000" w:themeColor="text1"/>
          <w:sz w:val="28"/>
          <w:szCs w:val="24"/>
        </w:rPr>
      </w:pPr>
      <w:r>
        <w:rPr>
          <w:rFonts w:cs="Times New Roman"/>
        </w:rPr>
        <w:br w:type="page"/>
      </w:r>
    </w:p>
    <w:p w14:paraId="06E4F5E5" w14:textId="6AF6139A" w:rsidR="00F81F18" w:rsidRPr="00374D49" w:rsidRDefault="00F81F18" w:rsidP="00FD4A5B">
      <w:pPr>
        <w:pStyle w:val="Heading2"/>
        <w:spacing w:line="276" w:lineRule="auto"/>
      </w:pPr>
      <w:bookmarkStart w:id="26" w:name="_Toc242407913"/>
      <w:r>
        <w:lastRenderedPageBreak/>
        <w:t>4.2 Analytical Methods</w:t>
      </w:r>
      <w:bookmarkEnd w:id="25"/>
      <w:bookmarkEnd w:id="26"/>
    </w:p>
    <w:p w14:paraId="570625E7" w14:textId="2308E490" w:rsidR="00203D70" w:rsidRPr="00374D49" w:rsidRDefault="00203D70" w:rsidP="00FD4A5B">
      <w:pPr>
        <w:pStyle w:val="MyTables"/>
        <w:keepNext/>
        <w:spacing w:line="276" w:lineRule="auto"/>
      </w:pPr>
      <w:bookmarkStart w:id="27" w:name="_Toc242407964"/>
      <w:r>
        <w:t>Table 3. Analytical method by Domain</w:t>
      </w:r>
      <w:bookmarkEnd w:id="27"/>
    </w:p>
    <w:tbl>
      <w:tblPr>
        <w:tblStyle w:val="PlainTable5"/>
        <w:tblW w:w="9360" w:type="dxa"/>
        <w:tblLook w:val="04A0" w:firstRow="1" w:lastRow="0" w:firstColumn="1" w:lastColumn="0" w:noHBand="0" w:noVBand="1"/>
      </w:tblPr>
      <w:tblGrid>
        <w:gridCol w:w="1017"/>
        <w:gridCol w:w="4636"/>
        <w:gridCol w:w="3707"/>
      </w:tblGrid>
      <w:tr w:rsidR="00203D70" w:rsidRPr="00374D49" w14:paraId="355E0694"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tcPr>
          <w:p w14:paraId="18B9F662" w14:textId="77777777" w:rsidR="00F81F18" w:rsidRPr="00374D49" w:rsidRDefault="00F81F18" w:rsidP="00FD4A5B">
            <w:pPr>
              <w:keepNext/>
              <w:spacing w:line="276" w:lineRule="auto"/>
              <w:jc w:val="both"/>
              <w:rPr>
                <w:rFonts w:cs="Times New Roman"/>
                <w:color w:val="000000" w:themeColor="text1"/>
                <w:szCs w:val="24"/>
              </w:rPr>
            </w:pPr>
            <w:r>
              <w:rPr>
                <w:rFonts w:cs="Times New Roman"/>
                <w:b/>
                <w:bCs/>
                <w:color w:val="000000" w:themeColor="text1"/>
                <w:szCs w:val="24"/>
              </w:rPr>
              <w:t>Domain</w:t>
            </w:r>
          </w:p>
        </w:tc>
        <w:tc>
          <w:tcPr>
            <w:tcW w:w="4760" w:type="dxa"/>
          </w:tcPr>
          <w:p w14:paraId="312DDD2D"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Method</w:t>
            </w:r>
          </w:p>
        </w:tc>
        <w:tc>
          <w:tcPr>
            <w:tcW w:w="3800" w:type="dxa"/>
          </w:tcPr>
          <w:p w14:paraId="478ADD71" w14:textId="77777777" w:rsidR="00F81F18" w:rsidRPr="00374D49" w:rsidRDefault="00F81F1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Output</w:t>
            </w:r>
          </w:p>
        </w:tc>
      </w:tr>
      <w:tr w:rsidR="00203D70" w:rsidRPr="00374D49" w14:paraId="30FA5CF0"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32F1D06"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4760" w:type="dxa"/>
          </w:tcPr>
          <w:p w14:paraId="7179776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time-series forecasting, 80%/95% intervals, per antigen and per-LGA</w:t>
            </w:r>
          </w:p>
        </w:tc>
        <w:tc>
          <w:tcPr>
            <w:tcW w:w="3800" w:type="dxa"/>
          </w:tcPr>
          <w:p w14:paraId="5BE6669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trajectories to 2027; threshold-breach flags</w:t>
            </w:r>
          </w:p>
        </w:tc>
      </w:tr>
      <w:tr w:rsidR="00203D70" w:rsidRPr="00374D49" w14:paraId="6A323686"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FCC31DE"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4760" w:type="dxa"/>
          </w:tcPr>
          <w:p w14:paraId="27A1BA7C"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Prophet dropout forecasting + LASSO feature selection</w:t>
            </w:r>
          </w:p>
        </w:tc>
        <w:tc>
          <w:tcPr>
            <w:tcW w:w="3800" w:type="dxa"/>
          </w:tcPr>
          <w:p w14:paraId="027C00A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Dropout heatmaps; ranked driver importance</w:t>
            </w:r>
          </w:p>
        </w:tc>
      </w:tr>
      <w:tr w:rsidR="00203D70" w:rsidRPr="00374D49" w14:paraId="5D57AEDF"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3629870"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4760" w:type="dxa"/>
          </w:tcPr>
          <w:p w14:paraId="187EBE6E"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Multiscale geographically weighted regression (MGWR); composite equity index</w:t>
            </w:r>
          </w:p>
        </w:tc>
        <w:tc>
          <w:tcPr>
            <w:tcW w:w="3800" w:type="dxa"/>
          </w:tcPr>
          <w:p w14:paraId="515C4F3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Spatially varying coefficients; four-tier map</w:t>
            </w:r>
          </w:p>
        </w:tc>
      </w:tr>
      <w:tr w:rsidR="00203D70" w:rsidRPr="00374D49" w14:paraId="7281958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07DC7C34"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4760" w:type="dxa"/>
          </w:tcPr>
          <w:p w14:paraId="30958C8A"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Field-coded concern taxonomy → Composite Hesitancy Index; Gi*; correlation test</w:t>
            </w:r>
          </w:p>
        </w:tc>
        <w:tc>
          <w:tcPr>
            <w:tcW w:w="3800" w:type="dxa"/>
          </w:tcPr>
          <w:p w14:paraId="743D6611"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Concern inventory; zonal CHI; decoupling test</w:t>
            </w:r>
          </w:p>
        </w:tc>
      </w:tr>
      <w:tr w:rsidR="00203D70" w:rsidRPr="00374D49" w14:paraId="1BEB9A13"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70517577"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4760" w:type="dxa"/>
          </w:tcPr>
          <w:p w14:paraId="00143CF6"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Method 1: Bayesian hierarchical Beta regression with DHIS2-calibrated LGA allocation; Method 2: Bayesian small-area estimation (survey-anchored, BYM2 spatial model); Getis-Ord Gi*; Ward clustering (k=5)</w:t>
            </w:r>
          </w:p>
        </w:tc>
        <w:tc>
          <w:tcPr>
            <w:tcW w:w="3800" w:type="dxa"/>
          </w:tcPr>
          <w:p w14:paraId="23735E0B" w14:textId="77777777" w:rsidR="00F81F18" w:rsidRPr="00374D49" w:rsidRDefault="00F81F1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State and LGA estimates with credible intervals (773 and 774 LGAs); priority probabilities; hotspots; archetypes</w:t>
            </w:r>
          </w:p>
        </w:tc>
      </w:tr>
      <w:tr w:rsidR="00203D70" w:rsidRPr="00374D49" w14:paraId="38CCBC61"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800" w:type="dxa"/>
          </w:tcPr>
          <w:p w14:paraId="3882965B" w14:textId="77777777" w:rsidR="00F81F18" w:rsidRPr="00374D49" w:rsidRDefault="00F81F18" w:rsidP="00FD4A5B">
            <w:pPr>
              <w:keepNext/>
              <w:spacing w:line="276" w:lineRule="auto"/>
              <w:jc w:val="both"/>
              <w:rPr>
                <w:rFonts w:cs="Times New Roman"/>
                <w:color w:val="000000" w:themeColor="text1"/>
                <w:szCs w:val="24"/>
              </w:rPr>
            </w:pPr>
            <w:r>
              <w:rPr>
                <w:rFonts w:cs="Times New Roman"/>
                <w:color w:val="000000" w:themeColor="text1"/>
                <w:szCs w:val="24"/>
              </w:rPr>
              <w:t>6</w:t>
            </w:r>
          </w:p>
        </w:tc>
        <w:tc>
          <w:tcPr>
            <w:tcW w:w="4760" w:type="dxa"/>
          </w:tcPr>
          <w:p w14:paraId="04CEF788"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Bernoulli case-control spatial scan; negative-binomial GLM + Prophet</w:t>
            </w:r>
          </w:p>
        </w:tc>
        <w:tc>
          <w:tcPr>
            <w:tcW w:w="3800" w:type="dxa"/>
          </w:tcPr>
          <w:p w14:paraId="12FAC10D" w14:textId="77777777" w:rsidR="00F81F18" w:rsidRPr="00374D49" w:rsidRDefault="00F81F1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Significant AFP cluster; interruption-year projection</w:t>
            </w:r>
          </w:p>
        </w:tc>
      </w:tr>
      <w:tr w:rsidR="00203D70" w:rsidRPr="00374D49" w14:paraId="4EBCA1C1"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tcPr>
          <w:p w14:paraId="2163B8F8"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t>7</w:t>
            </w:r>
          </w:p>
        </w:tc>
        <w:tc>
          <w:tcPr>
            <w:tcW w:w="4760" w:type="dxa"/>
          </w:tcPr>
          <w:p w14:paraId="09BBD2DF"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Eight FDR-corrected coverage-to-mortality tests; composite risk surface</w:t>
            </w:r>
          </w:p>
        </w:tc>
        <w:tc>
          <w:tcPr>
            <w:tcW w:w="3800" w:type="dxa"/>
          </w:tcPr>
          <w:p w14:paraId="05956126" w14:textId="77777777" w:rsidR="00F81F18" w:rsidRPr="00374D49" w:rsidRDefault="00F81F18"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Hypothesis grid; ranked risk surface; triangulation</w:t>
            </w:r>
          </w:p>
        </w:tc>
      </w:tr>
    </w:tbl>
    <w:p w14:paraId="655C5EEF" w14:textId="77777777" w:rsidR="00203D70" w:rsidRPr="00374D49" w:rsidRDefault="00203D70" w:rsidP="00FD4A5B">
      <w:pPr>
        <w:spacing w:before="40" w:after="0" w:line="276" w:lineRule="auto"/>
        <w:jc w:val="both"/>
        <w:rPr>
          <w:rFonts w:cs="Times New Roman"/>
          <w:i/>
          <w:iCs/>
          <w:color w:val="000000" w:themeColor="text1"/>
          <w:sz w:val="18"/>
          <w:szCs w:val="18"/>
        </w:rPr>
      </w:pPr>
    </w:p>
    <w:p w14:paraId="359656BC" w14:textId="765CE8D0" w:rsidR="00F81F18" w:rsidRPr="00374D49" w:rsidRDefault="00F81F18" w:rsidP="00FD4A5B">
      <w:pPr>
        <w:spacing w:before="40" w:after="200" w:line="276" w:lineRule="auto"/>
        <w:jc w:val="both"/>
        <w:rPr>
          <w:rFonts w:cs="Times New Roman"/>
          <w:i/>
          <w:iCs/>
          <w:color w:val="000000" w:themeColor="text1"/>
          <w:sz w:val="18"/>
          <w:szCs w:val="18"/>
        </w:rPr>
      </w:pPr>
      <w:r>
        <w:rPr>
          <w:rFonts w:cs="Times New Roman"/>
          <w:i/>
          <w:iCs/>
          <w:color w:val="000000" w:themeColor="text1"/>
          <w:sz w:val="18"/>
          <w:szCs w:val="18"/>
        </w:rPr>
        <w:t>Bayesian convergence for Domain 5 is satisfactory for both methods: Method 1 maximum R-hat = 1.006 and Method 2 maximum R-hat = 1.003, with no divergent transitions. Full step-by-step methods are held in the consortium's technical appendix and the Domain 5 notebooks.</w:t>
      </w:r>
    </w:p>
    <w:p w14:paraId="2C7A998F" w14:textId="4A635F9C" w:rsidR="00C15CE2" w:rsidRPr="00374D49" w:rsidRDefault="00C15CE2" w:rsidP="00FD4A5B">
      <w:pPr>
        <w:spacing w:before="40" w:after="200" w:line="276" w:lineRule="auto"/>
        <w:jc w:val="both"/>
        <w:rPr>
          <w:rFonts w:cs="Times New Roman"/>
          <w:color w:val="000000" w:themeColor="text1"/>
          <w:szCs w:val="24"/>
        </w:rPr>
      </w:pPr>
    </w:p>
    <w:p w14:paraId="638A3A2B" w14:textId="77777777" w:rsidR="00F81F18" w:rsidRPr="00374D49" w:rsidRDefault="00F81F18" w:rsidP="00FD4A5B">
      <w:pPr>
        <w:spacing w:line="276" w:lineRule="auto"/>
        <w:jc w:val="both"/>
        <w:rPr>
          <w:rFonts w:cs="Times New Roman"/>
          <w:color w:val="000000" w:themeColor="text1"/>
          <w:szCs w:val="24"/>
        </w:rPr>
      </w:pPr>
      <w:r>
        <w:rPr>
          <w:rFonts w:cs="Times New Roman"/>
          <w:color w:val="000000" w:themeColor="text1"/>
          <w:szCs w:val="24"/>
        </w:rPr>
        <w:br w:type="page"/>
      </w:r>
    </w:p>
    <w:p w14:paraId="00001B61" w14:textId="77777777" w:rsidR="00374D49" w:rsidRDefault="00374D49">
      <w:pPr>
        <w:pStyle w:val="Heading2"/>
      </w:pPr>
      <w:bookmarkStart w:id="28" w:name="_Toc242407914"/>
      <w:r>
        <w:lastRenderedPageBreak/>
        <w:t>4.3 Analytical Coverage of Local Government Areas</w:t>
      </w:r>
      <w:bookmarkEnd w:id="28"/>
    </w:p>
    <w:p w14:paraId="00001B62" w14:textId="77777777" w:rsidR="00374D49" w:rsidRDefault="00374D49">
      <w:pPr>
        <w:spacing w:after="200" w:line="276" w:lineRule="auto"/>
        <w:jc w:val="both"/>
        <w:rPr>
          <w:rFonts w:cs="Times New Roman"/>
        </w:rPr>
      </w:pPr>
      <w:r>
        <w:rPr>
          <w:rFonts w:cs="Times New Roman"/>
        </w:rPr>
        <w:t>The Domain 5 estimates cover all of Nigeria's 774 LGAs. Method 1 produces estimates for 773 LGAs; Guzamala (Borno) reported no Penta1 doses to DHIS2 in 2021-2024 (partial reporting began in 2025), and Method 1, which distributes each state's estimate using LGA shares of reported Penta1 doses, cannot place it. Method 2 estimates all 774 LGAs, including Guzamala, from survey anchors, local conditions and neighbouring LGAs. Domain 1 forecasts also cover 773 LGAs; Guzamala has no 2024 doses and therefore no Domain 1 baseline (Section 5.1).</w:t>
      </w:r>
    </w:p>
    <w:p w14:paraId="00001B64" w14:textId="77777777" w:rsidR="00374D49" w:rsidRDefault="00374D49">
      <w:pPr>
        <w:pStyle w:val="MyTables"/>
        <w:keepNext/>
      </w:pPr>
      <w:bookmarkStart w:id="29" w:name="_Toc242407965"/>
      <w:r>
        <w:t>Table 3b. Local government areas covered by the Domain 5 estimates, by zone.</w:t>
      </w:r>
      <w:bookmarkEnd w:id="29"/>
    </w:p>
    <w:tbl>
      <w:tblPr>
        <w:tblStyle w:val="PlainTable5"/>
        <w:tblW w:w="9026" w:type="dxa"/>
        <w:tblLook w:val="04A0" w:firstRow="1" w:lastRow="0" w:firstColumn="1" w:lastColumn="0" w:noHBand="0" w:noVBand="1"/>
      </w:tblPr>
      <w:tblGrid>
        <w:gridCol w:w="3202"/>
        <w:gridCol w:w="2912"/>
        <w:gridCol w:w="2912"/>
      </w:tblGrid>
      <w:tr w:rsidR="00374D49" w14:paraId="00001B6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168" w:type="dxa"/>
            <w:vAlign w:val="center"/>
          </w:tcPr>
          <w:p w14:paraId="00001B66" w14:textId="77777777" w:rsidR="00374D49" w:rsidRDefault="00374D49">
            <w:pPr>
              <w:rPr>
                <w:rFonts w:cs="Times New Roman"/>
                <w:b/>
                <w:sz w:val="16"/>
                <w:szCs w:val="16"/>
              </w:rPr>
            </w:pPr>
            <w:r>
              <w:rPr>
                <w:rFonts w:cs="Times New Roman"/>
                <w:b/>
                <w:sz w:val="16"/>
                <w:szCs w:val="16"/>
              </w:rPr>
              <w:t>Zone</w:t>
            </w:r>
          </w:p>
        </w:tc>
        <w:tc>
          <w:tcPr>
            <w:tcW w:w="2880" w:type="dxa"/>
            <w:vAlign w:val="center"/>
          </w:tcPr>
          <w:p w14:paraId="00001B67"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1</w:t>
            </w:r>
          </w:p>
        </w:tc>
        <w:tc>
          <w:tcPr>
            <w:tcW w:w="2880" w:type="dxa"/>
            <w:vAlign w:val="center"/>
          </w:tcPr>
          <w:p w14:paraId="00001B68" w14:textId="77777777" w:rsidR="00374D49" w:rsidRDefault="00374D49">
            <w:pPr>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 estimated, Method 2</w:t>
            </w:r>
          </w:p>
        </w:tc>
      </w:tr>
      <w:tr w:rsidR="00374D49" w14:paraId="00001B6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0001B6A" w14:textId="77777777" w:rsidR="00374D49" w:rsidRDefault="00374D49">
            <w:pPr>
              <w:rPr>
                <w:rFonts w:cs="Times New Roman"/>
                <w:sz w:val="16"/>
                <w:szCs w:val="16"/>
              </w:rPr>
            </w:pPr>
            <w:r>
              <w:rPr>
                <w:rFonts w:cs="Times New Roman"/>
                <w:sz w:val="16"/>
                <w:szCs w:val="16"/>
              </w:rPr>
              <w:t>North West</w:t>
            </w:r>
          </w:p>
        </w:tc>
        <w:tc>
          <w:tcPr>
            <w:tcW w:w="2880" w:type="dxa"/>
            <w:vAlign w:val="center"/>
          </w:tcPr>
          <w:p w14:paraId="00001B6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c>
          <w:tcPr>
            <w:tcW w:w="2880" w:type="dxa"/>
            <w:vAlign w:val="center"/>
          </w:tcPr>
          <w:p w14:paraId="00001B6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186 of 186</w:t>
            </w:r>
          </w:p>
        </w:tc>
      </w:tr>
      <w:tr w:rsidR="00374D49" w14:paraId="021BE3E9"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4DA24642" w14:textId="77777777" w:rsidR="00374D49" w:rsidRDefault="00374D49">
            <w:pPr>
              <w:rPr>
                <w:rFonts w:cs="Times New Roman"/>
                <w:sz w:val="16"/>
                <w:szCs w:val="16"/>
              </w:rPr>
            </w:pPr>
            <w:r>
              <w:rPr>
                <w:rFonts w:cs="Times New Roman"/>
                <w:sz w:val="16"/>
                <w:szCs w:val="16"/>
              </w:rPr>
              <w:t>North East</w:t>
            </w:r>
          </w:p>
        </w:tc>
        <w:tc>
          <w:tcPr>
            <w:tcW w:w="2880" w:type="dxa"/>
            <w:vAlign w:val="center"/>
          </w:tcPr>
          <w:p w14:paraId="656E2452"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111 of 112</w:t>
            </w:r>
          </w:p>
        </w:tc>
        <w:tc>
          <w:tcPr>
            <w:tcW w:w="2880" w:type="dxa"/>
            <w:vAlign w:val="center"/>
          </w:tcPr>
          <w:p w14:paraId="4D744F88"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 of 112</w:t>
            </w:r>
          </w:p>
        </w:tc>
      </w:tr>
      <w:tr w:rsidR="00374D49" w14:paraId="561B5A8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3030A69" w14:textId="77777777" w:rsidR="00374D49" w:rsidRDefault="00374D49">
            <w:pPr>
              <w:rPr>
                <w:rFonts w:cs="Times New Roman"/>
                <w:sz w:val="16"/>
                <w:szCs w:val="16"/>
              </w:rPr>
            </w:pPr>
            <w:r>
              <w:rPr>
                <w:rFonts w:cs="Times New Roman"/>
                <w:sz w:val="16"/>
                <w:szCs w:val="16"/>
              </w:rPr>
              <w:t>North Central</w:t>
            </w:r>
          </w:p>
        </w:tc>
        <w:tc>
          <w:tcPr>
            <w:tcW w:w="2880" w:type="dxa"/>
            <w:vAlign w:val="center"/>
          </w:tcPr>
          <w:p w14:paraId="26B30A6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c>
          <w:tcPr>
            <w:tcW w:w="2880" w:type="dxa"/>
            <w:vAlign w:val="center"/>
          </w:tcPr>
          <w:p w14:paraId="3DA3F5D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121 of 121</w:t>
            </w:r>
          </w:p>
        </w:tc>
      </w:tr>
      <w:tr w:rsidR="00374D49" w14:paraId="125191AA"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26BC414" w14:textId="77777777" w:rsidR="00374D49" w:rsidRDefault="00374D49">
            <w:pPr>
              <w:rPr>
                <w:rFonts w:cs="Times New Roman"/>
                <w:sz w:val="16"/>
                <w:szCs w:val="16"/>
              </w:rPr>
            </w:pPr>
            <w:r>
              <w:rPr>
                <w:rFonts w:cs="Times New Roman"/>
                <w:sz w:val="16"/>
                <w:szCs w:val="16"/>
              </w:rPr>
              <w:t>South West</w:t>
            </w:r>
          </w:p>
        </w:tc>
        <w:tc>
          <w:tcPr>
            <w:tcW w:w="2880" w:type="dxa"/>
            <w:vAlign w:val="center"/>
          </w:tcPr>
          <w:p w14:paraId="2B4E1C7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c>
          <w:tcPr>
            <w:tcW w:w="2880" w:type="dxa"/>
            <w:vAlign w:val="center"/>
          </w:tcPr>
          <w:p w14:paraId="6EA6DBF7"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137 of 137</w:t>
            </w:r>
          </w:p>
        </w:tc>
      </w:tr>
      <w:tr w:rsidR="00374D49" w14:paraId="3A55BFF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E4DCED8" w14:textId="77777777" w:rsidR="00374D49" w:rsidRDefault="00374D49">
            <w:pPr>
              <w:rPr>
                <w:rFonts w:cs="Times New Roman"/>
                <w:sz w:val="16"/>
                <w:szCs w:val="16"/>
              </w:rPr>
            </w:pPr>
            <w:r>
              <w:rPr>
                <w:rFonts w:cs="Times New Roman"/>
                <w:sz w:val="16"/>
                <w:szCs w:val="16"/>
              </w:rPr>
              <w:t>South South</w:t>
            </w:r>
          </w:p>
        </w:tc>
        <w:tc>
          <w:tcPr>
            <w:tcW w:w="2880" w:type="dxa"/>
            <w:vAlign w:val="center"/>
          </w:tcPr>
          <w:p w14:paraId="6A05152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c>
          <w:tcPr>
            <w:tcW w:w="2880" w:type="dxa"/>
            <w:vAlign w:val="center"/>
          </w:tcPr>
          <w:p w14:paraId="6008529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123 of 123</w:t>
            </w:r>
          </w:p>
        </w:tc>
      </w:tr>
      <w:tr w:rsidR="00374D49" w14:paraId="455CEC17" w14:textId="77777777">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06B1BD99" w14:textId="77777777" w:rsidR="00374D49" w:rsidRDefault="00374D49">
            <w:pPr>
              <w:rPr>
                <w:rFonts w:cs="Times New Roman"/>
                <w:sz w:val="16"/>
                <w:szCs w:val="16"/>
              </w:rPr>
            </w:pPr>
            <w:r>
              <w:rPr>
                <w:rFonts w:cs="Times New Roman"/>
                <w:sz w:val="16"/>
                <w:szCs w:val="16"/>
              </w:rPr>
              <w:t>South East</w:t>
            </w:r>
          </w:p>
        </w:tc>
        <w:tc>
          <w:tcPr>
            <w:tcW w:w="2880" w:type="dxa"/>
            <w:vAlign w:val="center"/>
          </w:tcPr>
          <w:p w14:paraId="6BC354C5"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c>
          <w:tcPr>
            <w:tcW w:w="2880" w:type="dxa"/>
            <w:vAlign w:val="center"/>
          </w:tcPr>
          <w:p w14:paraId="3F9800A1" w14:textId="77777777" w:rsidR="00374D49" w:rsidRDefault="00374D49">
            <w:pPr>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95 of 95</w:t>
            </w:r>
          </w:p>
        </w:tc>
      </w:tr>
      <w:tr w:rsidR="00374D49" w14:paraId="1314A12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18DA12C3" w14:textId="77777777" w:rsidR="00374D49" w:rsidRDefault="00374D49">
            <w:pPr>
              <w:rPr>
                <w:rFonts w:cs="Times New Roman"/>
                <w:sz w:val="16"/>
                <w:szCs w:val="16"/>
              </w:rPr>
            </w:pPr>
            <w:r>
              <w:rPr>
                <w:rFonts w:cs="Times New Roman"/>
                <w:sz w:val="16"/>
                <w:szCs w:val="16"/>
              </w:rPr>
              <w:t>Nigeria</w:t>
            </w:r>
          </w:p>
        </w:tc>
        <w:tc>
          <w:tcPr>
            <w:tcW w:w="2880" w:type="dxa"/>
            <w:vAlign w:val="center"/>
          </w:tcPr>
          <w:p w14:paraId="010E859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773 of 774</w:t>
            </w:r>
          </w:p>
        </w:tc>
        <w:tc>
          <w:tcPr>
            <w:tcW w:w="2880" w:type="dxa"/>
            <w:vAlign w:val="center"/>
          </w:tcPr>
          <w:p w14:paraId="252838B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774 of 774</w:t>
            </w:r>
          </w:p>
        </w:tc>
      </w:tr>
    </w:tbl>
    <w:p w14:paraId="00001B9D" w14:textId="77777777" w:rsidR="00374D49" w:rsidRDefault="00374D49">
      <w:pPr>
        <w:spacing w:after="200" w:line="276" w:lineRule="auto"/>
        <w:rPr>
          <w:rFonts w:cs="Times New Roman"/>
        </w:rPr>
      </w:pPr>
    </w:p>
    <w:p w14:paraId="00001B9E" w14:textId="77777777" w:rsidR="00374D49" w:rsidRDefault="00374D49">
      <w:pPr>
        <w:spacing w:after="200" w:line="276" w:lineRule="auto"/>
        <w:jc w:val="both"/>
        <w:rPr>
          <w:rFonts w:cs="Times New Roman"/>
          <w:i/>
          <w:sz w:val="16"/>
          <w:szCs w:val="16"/>
        </w:rPr>
      </w:pPr>
      <w:r>
        <w:rPr>
          <w:rFonts w:cs="Times New Roman"/>
          <w:i/>
          <w:sz w:val="16"/>
          <w:szCs w:val="16"/>
        </w:rPr>
        <w:t>Guzamala (Borno) is the only LGA without a Method 1 estimate. Source: DHIS2 routine antigen export by LGA and month, 2021-2025; GRID3 boundaries (774 LGAs).</w:t>
      </w:r>
    </w:p>
    <w:p w14:paraId="00001B9F" w14:textId="77777777" w:rsidR="00374D49" w:rsidRDefault="00374D49">
      <w:pPr>
        <w:spacing w:after="200" w:line="276" w:lineRule="auto"/>
        <w:jc w:val="both"/>
        <w:rPr>
          <w:rFonts w:cs="Times New Roman"/>
        </w:rPr>
      </w:pPr>
      <w:r>
        <w:rPr>
          <w:rFonts w:cs="Times New Roman"/>
        </w:rPr>
        <w:t>Routine reporting quality still matters. Because Method 1 distributes each state's estimate using LGA shares of reported Penta1 doses, LGAs whose reported doses are far above or below their estimated child population carry the largest allocation error; these are also the LGAs where the two methods differ most (Section 5.5.5). The Digital Innovation Hub should include them in its monthly data-quality checks, beginning with restoring Penta1 reporting in Guzamala.</w:t>
      </w:r>
    </w:p>
    <w:p w14:paraId="48E67596" w14:textId="77777777" w:rsidR="00F81F18" w:rsidRPr="00374D49" w:rsidRDefault="00F81F18" w:rsidP="00FD4A5B">
      <w:pPr>
        <w:pStyle w:val="Heading1"/>
        <w:spacing w:line="276" w:lineRule="auto"/>
      </w:pPr>
      <w:bookmarkStart w:id="30" w:name="_Toc233107582"/>
      <w:bookmarkStart w:id="31" w:name="_Toc242407915"/>
      <w:r>
        <w:t>5. Findings by Modelling Domain</w:t>
      </w:r>
      <w:bookmarkEnd w:id="30"/>
      <w:bookmarkEnd w:id="31"/>
    </w:p>
    <w:p w14:paraId="4C39DFE5" w14:textId="77777777" w:rsidR="00F81F18" w:rsidRPr="00374D49" w:rsidRDefault="00F81F18" w:rsidP="00FD4A5B">
      <w:pPr>
        <w:pStyle w:val="Heading2"/>
        <w:spacing w:line="276" w:lineRule="auto"/>
      </w:pPr>
      <w:bookmarkStart w:id="32" w:name="_Toc233107583"/>
      <w:bookmarkStart w:id="33" w:name="_Toc242407916"/>
      <w:r>
        <w:t>5.1 Domain 1 — Antigen Coverage Forecasting</w:t>
      </w:r>
      <w:bookmarkEnd w:id="32"/>
      <w:bookmarkEnd w:id="33"/>
    </w:p>
    <w:p w14:paraId="634F3D50" w14:textId="40377EC5" w:rsidR="00F81F18" w:rsidRPr="00374D49" w:rsidRDefault="00F81F18" w:rsidP="00FD4A5B">
      <w:pPr>
        <w:spacing w:after="140" w:line="276" w:lineRule="auto"/>
        <w:jc w:val="both"/>
        <w:rPr>
          <w:rFonts w:cs="Times New Roman"/>
          <w:color w:val="000000" w:themeColor="text1"/>
          <w:szCs w:val="24"/>
        </w:rPr>
      </w:pPr>
      <w:r>
        <w:rPr>
          <w:rFonts w:cs="Times New Roman"/>
          <w:color w:val="000000" w:themeColor="text1"/>
          <w:szCs w:val="24"/>
        </w:rPr>
        <w:t>Domain 1 is read two ways. An early-warning view compares each antigen with its own 2024 baseline, treating the 80% line as a decline tripwire. At the national level all four tracer antigens (BCG, Penta1, Penta3, Measles1) are forecast to stay above their 2024 level throughout the next 6-12 months; the lowest national points are 100% for BCG (Dec 2026), 106% for Penta1, 107% for Penta3 and 106% for Measles1. The national aggregate conceals the operational risk. Each of the 773 LGAs with 2024 data carries its own forecast for each of the four tracer antigens, giving 3,092 LGA-and-antigen forecasts. Of these, 1,302 dip below the 80% mark within the next 6 to 12 months, across 513 LGAs. In 195 of them the decline is already visible in 2025 data (2025 doses below 80% of 2024), and these should be followed up first; the remaining 1,107 are projected dips in series still close to their 2024 level. The risk is real but local, and must be managed LGA by LGA rather than read off the national average.</w:t>
      </w:r>
    </w:p>
    <w:p w14:paraId="71F02031" w14:textId="77777777" w:rsidR="00F81F18" w:rsidRPr="00374D49" w:rsidRDefault="00F81F1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4174B33" wp14:editId="5CAC9A60">
            <wp:extent cx="5733288" cy="3893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3288" cy="3893141"/>
                    </a:xfrm>
                    <a:prstGeom prst="rect">
                      <a:avLst/>
                    </a:prstGeom>
                  </pic:spPr>
                </pic:pic>
              </a:graphicData>
            </a:graphic>
          </wp:inline>
        </w:drawing>
      </w:r>
    </w:p>
    <w:p w14:paraId="240FFADA" w14:textId="77777777" w:rsidR="00F81F18" w:rsidRPr="00374D49" w:rsidRDefault="00F81F18" w:rsidP="00FD4A5B">
      <w:pPr>
        <w:pStyle w:val="MyFigures"/>
        <w:spacing w:line="276" w:lineRule="auto"/>
      </w:pPr>
      <w:bookmarkStart w:id="34" w:name="_Toc242407983"/>
      <w:r>
        <w:t>Figure 1a. National tracer-antigen doses as a percent of their 2024 level, with Prophet forecasts and 95% prediction intervals.</w:t>
      </w:r>
      <w:bookmarkEnd w:id="34"/>
    </w:p>
    <w:p w14:paraId="7C4DB06F" w14:textId="16155DF5" w:rsidR="00F7143D" w:rsidRPr="00374D49" w:rsidRDefault="00F7143D" w:rsidP="00FD4A5B">
      <w:pPr>
        <w:keepNext/>
        <w:spacing w:after="20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4CC23FC4" wp14:editId="3349C026">
            <wp:extent cx="4937760" cy="301518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015181"/>
                    </a:xfrm>
                    <a:prstGeom prst="rect">
                      <a:avLst/>
                    </a:prstGeom>
                  </pic:spPr>
                </pic:pic>
              </a:graphicData>
            </a:graphic>
          </wp:inline>
        </w:drawing>
      </w:r>
    </w:p>
    <w:p w14:paraId="75FF6A5D" w14:textId="36269A98" w:rsidR="00A635A8" w:rsidRPr="00374D49" w:rsidRDefault="00A635A8" w:rsidP="00FD4A5B">
      <w:pPr>
        <w:pStyle w:val="MyFigures"/>
        <w:spacing w:line="276" w:lineRule="auto"/>
      </w:pPr>
      <w:bookmarkStart w:id="35" w:name="_Toc242407984"/>
      <w:r>
        <w:t>Figure 1b. 2026 administrative coverage of the eligible cohort against NDHS 2024 survey coverage.</w:t>
      </w:r>
      <w:bookmarkEnd w:id="35"/>
    </w:p>
    <w:p w14:paraId="394BB5B2" w14:textId="257E922F"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Administrative coverage of the eligible cohort tells a different story from the survey. Dividing forecast 2026 doses by the 12-23-month cohort gives 125-139% for the four tracer antigens, against 55-69% in NDHS 2024. Routine doses exceed the projected cohort, which points to </w:t>
      </w:r>
      <w:r>
        <w:rPr>
          <w:rFonts w:cs="Times New Roman"/>
          <w:color w:val="000000" w:themeColor="text1"/>
          <w:szCs w:val="24"/>
        </w:rPr>
        <w:lastRenderedPageBreak/>
        <w:t>denominators that are too small and to doses counted where children are vaccinated rather than where they live. This is why the early-warning flag uses each area's own 2024 level, and why Domain 5 anchors local estimates to the surveys.</w:t>
      </w:r>
    </w:p>
    <w:p w14:paraId="6BA72B2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6FE01738" wp14:editId="02E7B044">
            <wp:extent cx="4937760" cy="4484681"/>
            <wp:effectExtent l="0" t="0" r="0" b="0"/>
            <wp:docPr id="1964530418" name="Picture 1964530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4_lga_flag_map.png"/>
                    <pic:cNvPicPr/>
                  </pic:nvPicPr>
                  <pic:blipFill>
                    <a:blip r:embed="rId13"/>
                    <a:stretch>
                      <a:fillRect/>
                    </a:stretch>
                  </pic:blipFill>
                  <pic:spPr>
                    <a:xfrm>
                      <a:off x="0" y="0"/>
                      <a:ext cx="4937760" cy="4484681"/>
                    </a:xfrm>
                    <a:prstGeom prst="rect">
                      <a:avLst/>
                    </a:prstGeom>
                  </pic:spPr>
                </pic:pic>
              </a:graphicData>
            </a:graphic>
          </wp:inline>
        </w:drawing>
      </w:r>
    </w:p>
    <w:p w14:paraId="583F4B8F" w14:textId="784FC51E" w:rsidR="00B941FD" w:rsidRPr="00374D49" w:rsidRDefault="00B941FD" w:rsidP="00FD4A5B">
      <w:pPr>
        <w:pStyle w:val="MyFigures"/>
        <w:spacing w:line="276" w:lineRule="auto"/>
      </w:pPr>
      <w:bookmarkStart w:id="36" w:name="_Toc242407985"/>
      <w:r>
        <w:t>Figure 1c. Number of the four tracer antigens with an early-warning flag, by LGA.</w:t>
      </w:r>
      <w:bookmarkEnd w:id="36"/>
    </w:p>
    <w:p w14:paraId="1977C80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0D61C9FE" wp14:editId="7B8ECBF8">
            <wp:extent cx="5733288" cy="4649822"/>
            <wp:effectExtent l="0" t="0" r="0" b="0"/>
            <wp:docPr id="1964530419" name="Picture 196453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F3_lga_early_warning_composite.png"/>
                    <pic:cNvPicPr/>
                  </pic:nvPicPr>
                  <pic:blipFill>
                    <a:blip r:embed="rId14"/>
                    <a:stretch>
                      <a:fillRect/>
                    </a:stretch>
                  </pic:blipFill>
                  <pic:spPr>
                    <a:xfrm>
                      <a:off x="0" y="0"/>
                      <a:ext cx="5733288" cy="4649822"/>
                    </a:xfrm>
                    <a:prstGeom prst="rect">
                      <a:avLst/>
                    </a:prstGeom>
                  </pic:spPr>
                </pic:pic>
              </a:graphicData>
            </a:graphic>
          </wp:inline>
        </w:drawing>
      </w:r>
    </w:p>
    <w:p w14:paraId="23425941" w14:textId="77777777" w:rsidR="00B941FD" w:rsidRPr="00374D49" w:rsidRDefault="00B941FD" w:rsidP="00FD4A5B">
      <w:pPr>
        <w:pStyle w:val="MyFigures"/>
        <w:spacing w:line="276" w:lineRule="auto"/>
      </w:pPr>
      <w:bookmarkStart w:id="37" w:name="_Toc242407986"/>
      <w:r>
        <w:t>Figure 1d. LGA early-warning flags by antigen: severity, states with the most flagged LGAs, and illustrative LGAs.</w:t>
      </w:r>
      <w:bookmarkEnd w:id="37"/>
    </w:p>
    <w:p w14:paraId="00001C58" w14:textId="77777777" w:rsidR="00374D49" w:rsidRDefault="00374D49">
      <w:pPr>
        <w:spacing w:after="200" w:line="276" w:lineRule="auto"/>
        <w:jc w:val="both"/>
        <w:rPr>
          <w:rFonts w:cs="Times New Roman"/>
          <w:i/>
          <w:sz w:val="16"/>
          <w:szCs w:val="16"/>
        </w:rPr>
      </w:pPr>
      <w:r>
        <w:rPr>
          <w:rFonts w:cs="Times New Roman"/>
          <w:i/>
          <w:sz w:val="16"/>
          <w:szCs w:val="16"/>
        </w:rPr>
        <w:t>Model estimate. Forecasts below 0% (37 of 3,092) indicate an erratic LGA series, for example a sudden change in reporting, and should be verified in DHIS2 before action. The full LGA list is in the Domain 1 government workbook.</w:t>
      </w:r>
    </w:p>
    <w:p w14:paraId="224A034A" w14:textId="77777777" w:rsidR="00F81F18" w:rsidRPr="00374D49" w:rsidRDefault="00F81F18" w:rsidP="00FD4A5B">
      <w:pPr>
        <w:spacing w:before="40" w:after="200" w:line="276" w:lineRule="auto"/>
        <w:jc w:val="both"/>
        <w:rPr>
          <w:rFonts w:cs="Times New Roman"/>
          <w:color w:val="000000" w:themeColor="text1"/>
          <w:szCs w:val="24"/>
        </w:rPr>
      </w:pPr>
    </w:p>
    <w:p w14:paraId="00001BA0" w14:textId="77777777" w:rsidR="00374D49" w:rsidRDefault="00374D49">
      <w:pPr>
        <w:pStyle w:val="Heading2"/>
      </w:pPr>
      <w:bookmarkStart w:id="38" w:name="_Toc242407917"/>
      <w:r>
        <w:t>5.1.1 The Wider Antigen Panel</w:t>
      </w:r>
      <w:bookmarkEnd w:id="38"/>
    </w:p>
    <w:p w14:paraId="00001BA1" w14:textId="77777777" w:rsidR="00374D49" w:rsidRDefault="00374D49">
      <w:pPr>
        <w:spacing w:after="200" w:line="276" w:lineRule="auto"/>
        <w:jc w:val="both"/>
        <w:rPr>
          <w:rFonts w:cs="Times New Roman"/>
        </w:rPr>
      </w:pPr>
      <w:r>
        <w:rPr>
          <w:rFonts w:cs="Times New Roman"/>
        </w:rPr>
        <w:t>The antigen panel was extended beyond the four tracers to cover nine further antigens, using the same Prophet specification. This applies decline screening across the routine schedule rather than to the tracer set alone, and covers the antigens that account for the majority of delivery volume.</w:t>
      </w:r>
    </w:p>
    <w:p w14:paraId="00001BA2" w14:textId="77777777" w:rsidR="00374D49" w:rsidRDefault="00374D49">
      <w:pPr>
        <w:spacing w:after="200" w:line="276" w:lineRule="auto"/>
        <w:jc w:val="both"/>
        <w:rPr>
          <w:rFonts w:cs="Times New Roman"/>
        </w:rPr>
      </w:pPr>
      <w:r>
        <w:rPr>
          <w:rFonts w:cs="Times New Roman"/>
        </w:rPr>
        <w:t>Five established antigens (OPV3, IPV1, PCV3, Yellow Fever and Meningitis A) are projected to hold at or above 80% of their own 2024 delivery level through the forecast window, and none raises a decline warning. Four recently introduced series, IPV2 and Rotavirus doses 1 to 3, follow different paths: IPV2 is still climbing (2025 doses 109% of 2024), while rotavirus doses fell to 89-91% of their 2024 level in 2025 and should be watched; these are monitored for uptake rather than screened for decline, since a rising series cannot meaningfully be tested against a decline tripwire.</w:t>
      </w:r>
    </w:p>
    <w:p w14:paraId="00001BA3" w14:textId="77777777" w:rsidR="00374D49" w:rsidRDefault="00374D49">
      <w:pPr>
        <w:spacing w:after="200" w:line="276" w:lineRule="auto"/>
        <w:jc w:val="both"/>
        <w:rPr>
          <w:rFonts w:cs="Times New Roman"/>
        </w:rPr>
      </w:pPr>
      <w:r>
        <w:rPr>
          <w:rFonts w:cs="Times New Roman"/>
        </w:rPr>
        <w:lastRenderedPageBreak/>
        <w:t>The programme consequence is that the decline signal identified in Section 5.1 is specific to the tracer antigens and to particular LGAs, and is not a general deterioration across the antigen schedule. Supervision can therefore be routed narrowly. The polio antigens in particular, OPV3, IPV1 and IPV2, show no national decline signal, which is consistent with the interruption pathway described in Section 5.6.</w:t>
      </w:r>
    </w:p>
    <w:p w14:paraId="00001BA5"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75E7A7F" wp14:editId="7E8E64C0">
            <wp:extent cx="5733288" cy="4109515"/>
            <wp:effectExtent l="0" t="0" r="0" b="0"/>
            <wp:docPr id="7076" name="Picture 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 name="Picture 7076"/>
                    <pic:cNvPicPr/>
                  </pic:nvPicPr>
                  <pic:blipFill>
                    <a:blip r:embed="rId15"/>
                    <a:stretch>
                      <a:fillRect/>
                    </a:stretch>
                  </pic:blipFill>
                  <pic:spPr>
                    <a:xfrm>
                      <a:off x="0" y="0"/>
                      <a:ext cx="5733288" cy="4109515"/>
                    </a:xfrm>
                    <a:prstGeom prst="rect">
                      <a:avLst/>
                    </a:prstGeom>
                  </pic:spPr>
                </pic:pic>
              </a:graphicData>
            </a:graphic>
          </wp:inline>
        </w:drawing>
      </w:r>
    </w:p>
    <w:p w14:paraId="00001BA6" w14:textId="77777777" w:rsidR="00374D49" w:rsidRDefault="00374D49">
      <w:pPr>
        <w:pStyle w:val="MyFigures"/>
        <w:spacing w:line="276" w:lineRule="auto"/>
      </w:pPr>
      <w:bookmarkStart w:id="39" w:name="_Toc242407987"/>
      <w:r>
        <w:t>Figure 1e. Forecast trajectories for the nine additional antigens against the 80% at-risk-of-decline mark (Prophet, DHIS2 2021-2025, projected to 2028).</w:t>
      </w:r>
      <w:bookmarkEnd w:id="39"/>
    </w:p>
    <w:p w14:paraId="00001BA7" w14:textId="77777777" w:rsidR="00374D49" w:rsidRDefault="00374D49">
      <w:pPr>
        <w:pStyle w:val="Heading2"/>
      </w:pPr>
      <w:bookmarkStart w:id="40" w:name="_Toc242407918"/>
      <w:r>
        <w:t>5.1.2 Reading the At-Risk-of-Decline Flag Correctly</w:t>
      </w:r>
      <w:bookmarkEnd w:id="40"/>
    </w:p>
    <w:p w14:paraId="00001BA8" w14:textId="77777777" w:rsidR="00374D49" w:rsidRDefault="00374D49">
      <w:pPr>
        <w:spacing w:after="200" w:line="276" w:lineRule="auto"/>
        <w:jc w:val="both"/>
        <w:rPr>
          <w:rFonts w:cs="Times New Roman"/>
        </w:rPr>
      </w:pPr>
      <w:r>
        <w:rPr>
          <w:rFonts w:cs="Times New Roman"/>
        </w:rPr>
        <w:t>The 80% figure used throughout Domain 1 is an early-warning threshold rather than a coverage statistic. The distinction is material to how the results are applied, and is set out in four points below.</w:t>
      </w:r>
    </w:p>
    <w:p w14:paraId="00001BA9" w14:textId="77777777" w:rsidR="00374D49" w:rsidRDefault="00374D49">
      <w:pPr>
        <w:pStyle w:val="ListParagraph"/>
        <w:numPr>
          <w:ilvl w:val="0"/>
          <w:numId w:val="3"/>
        </w:numPr>
        <w:spacing w:after="120" w:line="276" w:lineRule="auto"/>
        <w:jc w:val="both"/>
      </w:pPr>
      <w:r>
        <w:rPr>
          <w:b/>
        </w:rPr>
        <w:t xml:space="preserve">Definition. </w:t>
      </w:r>
      <w:r>
        <w:t>Projected monthly doses for an antigen in an LGA, expressed as a percentage of that same antigen’s 2024 delivery level in that same LGA.</w:t>
      </w:r>
    </w:p>
    <w:p w14:paraId="00001BAA" w14:textId="77777777" w:rsidR="00374D49" w:rsidRDefault="00374D49">
      <w:pPr>
        <w:pStyle w:val="ListParagraph"/>
        <w:numPr>
          <w:ilvl w:val="0"/>
          <w:numId w:val="3"/>
        </w:numPr>
        <w:spacing w:after="120" w:line="276" w:lineRule="auto"/>
        <w:jc w:val="both"/>
      </w:pPr>
      <w:r>
        <w:rPr>
          <w:b/>
        </w:rPr>
        <w:t xml:space="preserve">Interpretation. </w:t>
      </w:r>
      <w:r>
        <w:t>A reading below 80% means doses are slipping against a settled benchmark. It does not mean that only 80% of children were reached.</w:t>
      </w:r>
    </w:p>
    <w:p w14:paraId="00001BAB" w14:textId="77777777" w:rsidR="00374D49" w:rsidRDefault="00374D49">
      <w:pPr>
        <w:pStyle w:val="ListParagraph"/>
        <w:numPr>
          <w:ilvl w:val="0"/>
          <w:numId w:val="3"/>
        </w:numPr>
        <w:spacing w:after="120" w:line="276" w:lineRule="auto"/>
        <w:jc w:val="both"/>
      </w:pPr>
      <w:r>
        <w:rPr>
          <w:b/>
        </w:rPr>
        <w:t xml:space="preserve">Denominator independence. </w:t>
      </w:r>
      <w:r>
        <w:t>No child population enters the calculation, so the flag is unaffected by the denominator instability documented in Section 9.3. That is precisely why it is useful in a setting where denominators are contested.</w:t>
      </w:r>
    </w:p>
    <w:p w14:paraId="00001BAC" w14:textId="77777777" w:rsidR="00374D49" w:rsidRDefault="00374D49">
      <w:pPr>
        <w:pStyle w:val="ListParagraph"/>
        <w:numPr>
          <w:ilvl w:val="0"/>
          <w:numId w:val="3"/>
        </w:numPr>
        <w:spacing w:after="120" w:line="276" w:lineRule="auto"/>
        <w:jc w:val="both"/>
      </w:pPr>
      <w:r>
        <w:rPr>
          <w:b/>
        </w:rPr>
        <w:t xml:space="preserve">Programme use. </w:t>
      </w:r>
      <w:r>
        <w:t>Catch the decline early and route supervision to the exact antigen, month and LGA.</w:t>
      </w:r>
    </w:p>
    <w:p w14:paraId="00001BAD" w14:textId="77777777" w:rsidR="00374D49" w:rsidRDefault="00374D49">
      <w:pPr>
        <w:spacing w:after="200" w:line="276" w:lineRule="auto"/>
        <w:jc w:val="both"/>
        <w:rPr>
          <w:rFonts w:cs="Times New Roman"/>
        </w:rPr>
      </w:pPr>
      <w:r>
        <w:rPr>
          <w:rFonts w:cs="Times New Roman"/>
        </w:rPr>
        <w:lastRenderedPageBreak/>
        <w:t>The benchmark is 2024 rather than 2025 because 2024 is the last complete, fully reported year and therefore holds still. The 2025 series is partial and continues to shift as late reports arrive; benchmarking against it would generate alerts that are in truth reporting lag.</w:t>
      </w:r>
    </w:p>
    <w:p w14:paraId="00001BAE" w14:textId="77777777" w:rsidR="00374D49" w:rsidRDefault="00374D49">
      <w:pPr>
        <w:spacing w:after="200" w:line="276" w:lineRule="auto"/>
        <w:jc w:val="both"/>
        <w:rPr>
          <w:rFonts w:cs="Times New Roman"/>
        </w:rPr>
      </w:pPr>
      <w:r>
        <w:rPr>
          <w:rFonts w:cs="Times New Roman"/>
        </w:rPr>
        <w:t>True coverage answers a different question. It divides doses by the eligible 12-to-23-month cohort and is reported separately, both in Figure 1b and in the platform under “Estimated coverage (eligible cohort)”. The early-warning flag tells the programme when delivery is falling; coverage tells it how many children were reached. Different questions, different denominators, and the two should not be quoted interchangeably.</w:t>
      </w:r>
    </w:p>
    <w:p w14:paraId="00001BB0"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7BC1B74" wp14:editId="4675F4CD">
            <wp:extent cx="5120640" cy="2682447"/>
            <wp:effectExtent l="0" t="0" r="0" b="0"/>
            <wp:docPr id="7087" name="Picture 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 name="Picture 7087"/>
                    <pic:cNvPicPr/>
                  </pic:nvPicPr>
                  <pic:blipFill>
                    <a:blip r:embed="rId16"/>
                    <a:stretch>
                      <a:fillRect/>
                    </a:stretch>
                  </pic:blipFill>
                  <pic:spPr>
                    <a:xfrm>
                      <a:off x="0" y="0"/>
                      <a:ext cx="5120640" cy="2682447"/>
                    </a:xfrm>
                    <a:prstGeom prst="rect">
                      <a:avLst/>
                    </a:prstGeom>
                  </pic:spPr>
                </pic:pic>
              </a:graphicData>
            </a:graphic>
          </wp:inline>
        </w:drawing>
      </w:r>
    </w:p>
    <w:p w14:paraId="00001BB1" w14:textId="77777777" w:rsidR="00374D49" w:rsidRDefault="00374D49">
      <w:pPr>
        <w:pStyle w:val="MyFigures"/>
        <w:spacing w:line="276" w:lineRule="auto"/>
      </w:pPr>
      <w:bookmarkStart w:id="41" w:name="_Toc242407988"/>
      <w:r>
        <w:t>Figure 1f. Worked example: the dotted line is 80% of OPV3's own 2024 doses. The forecast remains above it, so OPV3 is not flagged.</w:t>
      </w:r>
      <w:bookmarkEnd w:id="41"/>
    </w:p>
    <w:p w14:paraId="766DDFEB" w14:textId="544210A4" w:rsidR="00802510" w:rsidRPr="00374D49" w:rsidRDefault="00802510" w:rsidP="00FD4A5B">
      <w:pPr>
        <w:pStyle w:val="Heading2"/>
        <w:spacing w:line="276" w:lineRule="auto"/>
      </w:pPr>
      <w:bookmarkStart w:id="42" w:name="_Toc233107584"/>
      <w:bookmarkStart w:id="43" w:name="_Toc242407919"/>
      <w:r>
        <w:t>5.2 Domain 2 — Dropout and Incomplete Vaccination</w:t>
      </w:r>
      <w:bookmarkEnd w:id="42"/>
      <w:bookmarkEnd w:id="43"/>
    </w:p>
    <w:p w14:paraId="70344283" w14:textId="115B01F2"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The three antigen transitions tell different stories. Penta1-to-Penta3 dropout is low and broadly flat (near zero, forecast around -2% through 2027), so children who start the Penta series generally complete it. Penta1-to-Measles1 runs persistently negative (about -5% to -9%), consistent with measles-campaign top-ups and a reporting effect rather than a true gain. The decisive transition is Measles1-to-Measles2, where dropout has fallen steeply from roughly 55% in 2021 to about 10–12% by 2025, much improved but still the largest of the three leaks, so the second measles dose is where completion effort should concentrate.</w:t>
      </w:r>
    </w:p>
    <w:p w14:paraId="1FE89D71" w14:textId="2B242215"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LASSO driver selection finds different mechanisms for each transition, so a single retention strategy will not fix all three: stunting, media exposure, and low wealth dominate Penta1-to-Penta3; women's employment and facility delivery drive Penta1-to-Measles1; and Muslim-population share and distance-to-facility lead Measles1-to-Measles2. Retention efforts therefore, need to be tailored by transition: defaulter tracing and second-year reminders for the Penta series, facility-linked scheduling for Penta1-to-Measles1, and outreach plus trusted-messenger engagement for the measles second dose, concentrated on persistent high-dropout states in the South-East and South-West.</w:t>
      </w:r>
    </w:p>
    <w:p w14:paraId="39ECC9A6"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194AB418" wp14:editId="61EBC8C5">
            <wp:extent cx="5715000" cy="1800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800225"/>
                    </a:xfrm>
                    <a:prstGeom prst="rect">
                      <a:avLst/>
                    </a:prstGeom>
                  </pic:spPr>
                </pic:pic>
              </a:graphicData>
            </a:graphic>
          </wp:inline>
        </w:drawing>
      </w:r>
    </w:p>
    <w:p w14:paraId="4C00B7BA" w14:textId="77777777" w:rsidR="00802510" w:rsidRPr="00374D49" w:rsidRDefault="00802510" w:rsidP="00FD4A5B">
      <w:pPr>
        <w:pStyle w:val="MyFigures"/>
        <w:spacing w:line="276" w:lineRule="auto"/>
      </w:pPr>
      <w:bookmarkStart w:id="44" w:name="_Toc242407989"/>
      <w:r>
        <w:t>Figure 2. National dropout-rate forecasts for the three antigen transitions (Prophet).</w:t>
      </w:r>
      <w:bookmarkEnd w:id="44"/>
    </w:p>
    <w:p w14:paraId="52952CEA"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D82156B" wp14:editId="727C7A44">
            <wp:extent cx="5334000" cy="3000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00375"/>
                    </a:xfrm>
                    <a:prstGeom prst="rect">
                      <a:avLst/>
                    </a:prstGeom>
                  </pic:spPr>
                </pic:pic>
              </a:graphicData>
            </a:graphic>
          </wp:inline>
        </w:drawing>
      </w:r>
    </w:p>
    <w:p w14:paraId="3FE8FEC0" w14:textId="77777777" w:rsidR="00802510" w:rsidRPr="00374D49" w:rsidRDefault="00802510" w:rsidP="00FD4A5B">
      <w:pPr>
        <w:pStyle w:val="MyFigures"/>
        <w:spacing w:line="276" w:lineRule="auto"/>
      </w:pPr>
      <w:bookmarkStart w:id="45" w:name="_Toc242407990"/>
      <w:r>
        <w:t>Figure 3. Observed and forecast dropout by state (Penta1–Penta3 and Measles1–Measles2).</w:t>
      </w:r>
      <w:bookmarkEnd w:id="45"/>
    </w:p>
    <w:p w14:paraId="6881DB3F"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6B7F16" wp14:editId="32F7368D">
            <wp:extent cx="5715000" cy="2057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057400"/>
                    </a:xfrm>
                    <a:prstGeom prst="rect">
                      <a:avLst/>
                    </a:prstGeom>
                  </pic:spPr>
                </pic:pic>
              </a:graphicData>
            </a:graphic>
          </wp:inline>
        </w:drawing>
      </w:r>
    </w:p>
    <w:p w14:paraId="58C4F560" w14:textId="77777777" w:rsidR="00802510" w:rsidRPr="00374D49" w:rsidRDefault="00802510" w:rsidP="00FD4A5B">
      <w:pPr>
        <w:pStyle w:val="MyFigures"/>
        <w:spacing w:line="276" w:lineRule="auto"/>
      </w:pPr>
      <w:bookmarkStart w:id="46" w:name="_Toc242407991"/>
      <w:r>
        <w:t>Figure 4. LASSO feature importance for the three dropout transitions.</w:t>
      </w:r>
      <w:bookmarkEnd w:id="46"/>
    </w:p>
    <w:p w14:paraId="17063686" w14:textId="77777777" w:rsidR="00802510" w:rsidRPr="00374D49" w:rsidRDefault="00802510" w:rsidP="00FD4A5B">
      <w:pPr>
        <w:pStyle w:val="Heading2"/>
        <w:spacing w:line="276" w:lineRule="auto"/>
      </w:pPr>
      <w:bookmarkStart w:id="47" w:name="_Toc233107585"/>
      <w:bookmarkStart w:id="48" w:name="_Toc242407920"/>
      <w:r>
        <w:t>5.3 Domain 3 — Equity and Zero-Dose Risk Stratification</w:t>
      </w:r>
      <w:bookmarkEnd w:id="47"/>
      <w:bookmarkEnd w:id="48"/>
    </w:p>
    <w:p w14:paraId="64667391" w14:textId="4105354E"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 xml:space="preserve">Zero-dose risk does not respond to the same drivers everywhere. A multiscale geographically weighted regression fits substantially better than a single national model (the fit statistic rises from 0.743 to 0.868), and that 13-point gain is the share of the pattern that is purely local. It is </w:t>
      </w:r>
      <w:r>
        <w:rPr>
          <w:rFonts w:cs="Times New Roman"/>
          <w:color w:val="000000" w:themeColor="text1"/>
          <w:szCs w:val="24"/>
        </w:rPr>
        <w:lastRenderedPageBreak/>
        <w:t>the statistical justification for targeting states individually rather than applying one national playbook.</w:t>
      </w:r>
    </w:p>
    <w:p w14:paraId="7BBACF48" w14:textId="34218343" w:rsidR="00203D70" w:rsidRPr="00374D49" w:rsidRDefault="00203D70" w:rsidP="00FD4A5B">
      <w:pPr>
        <w:pStyle w:val="MyTables"/>
        <w:keepNext/>
        <w:spacing w:line="276" w:lineRule="auto"/>
      </w:pPr>
      <w:bookmarkStart w:id="49" w:name="_Toc242407966"/>
      <w:r>
        <w:t>Table 4. Model comparison for equity stratification.</w:t>
      </w:r>
      <w:bookmarkEnd w:id="49"/>
      <w:r>
        <w:t xml:space="preserve"> </w:t>
      </w:r>
    </w:p>
    <w:tbl>
      <w:tblPr>
        <w:tblStyle w:val="PlainTable5"/>
        <w:tblW w:w="9360" w:type="dxa"/>
        <w:tblLook w:val="04A0" w:firstRow="1" w:lastRow="0" w:firstColumn="1" w:lastColumn="0" w:noHBand="0" w:noVBand="1"/>
      </w:tblPr>
      <w:tblGrid>
        <w:gridCol w:w="3360"/>
        <w:gridCol w:w="2000"/>
        <w:gridCol w:w="2000"/>
        <w:gridCol w:w="2000"/>
      </w:tblGrid>
      <w:tr w:rsidR="00203D70" w:rsidRPr="00374D49" w14:paraId="39DEB04A" w14:textId="77777777" w:rsidTr="00203D70">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360" w:type="dxa"/>
          </w:tcPr>
          <w:p w14:paraId="496C670E" w14:textId="77777777" w:rsidR="00802510" w:rsidRPr="00374D49" w:rsidRDefault="00802510" w:rsidP="00FD4A5B">
            <w:pPr>
              <w:keepNext/>
              <w:spacing w:line="276" w:lineRule="auto"/>
              <w:jc w:val="both"/>
              <w:rPr>
                <w:rFonts w:cs="Times New Roman"/>
                <w:color w:val="000000" w:themeColor="text1"/>
                <w:szCs w:val="24"/>
              </w:rPr>
            </w:pPr>
            <w:r>
              <w:rPr>
                <w:rFonts w:cs="Times New Roman"/>
                <w:b/>
                <w:bCs/>
                <w:color w:val="000000" w:themeColor="text1"/>
                <w:szCs w:val="24"/>
              </w:rPr>
              <w:t>Model</w:t>
            </w:r>
          </w:p>
        </w:tc>
        <w:tc>
          <w:tcPr>
            <w:tcW w:w="2000" w:type="dxa"/>
          </w:tcPr>
          <w:p w14:paraId="5EBA54B5"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R²</w:t>
            </w:r>
          </w:p>
        </w:tc>
        <w:tc>
          <w:tcPr>
            <w:tcW w:w="2000" w:type="dxa"/>
          </w:tcPr>
          <w:p w14:paraId="2D508EAE"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Adjusted R²</w:t>
            </w:r>
          </w:p>
        </w:tc>
        <w:tc>
          <w:tcPr>
            <w:tcW w:w="2000" w:type="dxa"/>
          </w:tcPr>
          <w:p w14:paraId="067E6468" w14:textId="77777777" w:rsidR="00802510" w:rsidRPr="00374D49" w:rsidRDefault="00802510"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AICc</w:t>
            </w:r>
          </w:p>
        </w:tc>
      </w:tr>
      <w:tr w:rsidR="00203D70" w:rsidRPr="00374D49" w14:paraId="6642655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F1DDDC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Global OLS</w:t>
            </w:r>
          </w:p>
        </w:tc>
        <w:tc>
          <w:tcPr>
            <w:tcW w:w="2000" w:type="dxa"/>
          </w:tcPr>
          <w:p w14:paraId="27D2CFE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0.743</w:t>
            </w:r>
          </w:p>
        </w:tc>
        <w:tc>
          <w:tcPr>
            <w:tcW w:w="2000" w:type="dxa"/>
          </w:tcPr>
          <w:p w14:paraId="5D7F7164"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c>
          <w:tcPr>
            <w:tcW w:w="2000" w:type="dxa"/>
          </w:tcPr>
          <w:p w14:paraId="7D2DEF4D" w14:textId="77777777" w:rsidR="00802510" w:rsidRPr="00374D49" w:rsidRDefault="00802510"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n/a</w:t>
            </w:r>
          </w:p>
        </w:tc>
      </w:tr>
      <w:tr w:rsidR="00203D70" w:rsidRPr="00374D49" w14:paraId="5A5CA069" w14:textId="77777777" w:rsidTr="00203D70">
        <w:trPr>
          <w:cantSplit/>
        </w:trPr>
        <w:tc>
          <w:tcPr>
            <w:cnfStyle w:val="001000000000" w:firstRow="0" w:lastRow="0" w:firstColumn="1" w:lastColumn="0" w:oddVBand="0" w:evenVBand="0" w:oddHBand="0" w:evenHBand="0" w:firstRowFirstColumn="0" w:firstRowLastColumn="0" w:lastRowFirstColumn="0" w:lastRowLastColumn="0"/>
            <w:tcW w:w="3360" w:type="dxa"/>
          </w:tcPr>
          <w:p w14:paraId="1C36AAED" w14:textId="77777777" w:rsidR="00802510" w:rsidRPr="00374D49" w:rsidRDefault="00802510" w:rsidP="00FD4A5B">
            <w:pPr>
              <w:keepNext/>
              <w:spacing w:line="276" w:lineRule="auto"/>
              <w:jc w:val="both"/>
              <w:rPr>
                <w:rFonts w:cs="Times New Roman"/>
                <w:color w:val="000000" w:themeColor="text1"/>
                <w:szCs w:val="24"/>
              </w:rPr>
            </w:pPr>
            <w:r>
              <w:rPr>
                <w:rFonts w:cs="Times New Roman"/>
                <w:color w:val="000000" w:themeColor="text1"/>
                <w:szCs w:val="24"/>
              </w:rPr>
              <w:t>GWR (bandwidth 35)</w:t>
            </w:r>
          </w:p>
        </w:tc>
        <w:tc>
          <w:tcPr>
            <w:tcW w:w="2000" w:type="dxa"/>
          </w:tcPr>
          <w:p w14:paraId="78480449"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0.821</w:t>
            </w:r>
          </w:p>
        </w:tc>
        <w:tc>
          <w:tcPr>
            <w:tcW w:w="2000" w:type="dxa"/>
          </w:tcPr>
          <w:p w14:paraId="7DD95B94"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0.755</w:t>
            </w:r>
          </w:p>
        </w:tc>
        <w:tc>
          <w:tcPr>
            <w:tcW w:w="2000" w:type="dxa"/>
          </w:tcPr>
          <w:p w14:paraId="169B2EBC" w14:textId="77777777" w:rsidR="00802510" w:rsidRPr="00374D49" w:rsidRDefault="00802510"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303.21</w:t>
            </w:r>
          </w:p>
        </w:tc>
      </w:tr>
      <w:tr w:rsidR="00203D70" w:rsidRPr="00374D49" w14:paraId="3E62E1D7" w14:textId="77777777" w:rsidTr="00203D7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360" w:type="dxa"/>
          </w:tcPr>
          <w:p w14:paraId="2E82CC3D" w14:textId="77777777" w:rsidR="00802510" w:rsidRPr="00374D49" w:rsidRDefault="00802510" w:rsidP="00FD4A5B">
            <w:pPr>
              <w:spacing w:line="276" w:lineRule="auto"/>
              <w:jc w:val="both"/>
              <w:rPr>
                <w:rFonts w:cs="Times New Roman"/>
                <w:color w:val="000000" w:themeColor="text1"/>
                <w:szCs w:val="24"/>
              </w:rPr>
            </w:pPr>
            <w:r>
              <w:rPr>
                <w:rFonts w:cs="Times New Roman"/>
                <w:color w:val="000000" w:themeColor="text1"/>
                <w:szCs w:val="24"/>
              </w:rPr>
              <w:t>MGWR (per-predictor)</w:t>
            </w:r>
          </w:p>
        </w:tc>
        <w:tc>
          <w:tcPr>
            <w:tcW w:w="2000" w:type="dxa"/>
          </w:tcPr>
          <w:p w14:paraId="6AE20FCE"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0.868</w:t>
            </w:r>
          </w:p>
        </w:tc>
        <w:tc>
          <w:tcPr>
            <w:tcW w:w="2000" w:type="dxa"/>
          </w:tcPr>
          <w:p w14:paraId="7D855542"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0.803</w:t>
            </w:r>
          </w:p>
        </w:tc>
        <w:tc>
          <w:tcPr>
            <w:tcW w:w="2000" w:type="dxa"/>
          </w:tcPr>
          <w:p w14:paraId="7F24B5E4" w14:textId="77777777" w:rsidR="00802510" w:rsidRPr="00374D49" w:rsidRDefault="00802510"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301.65</w:t>
            </w:r>
          </w:p>
        </w:tc>
      </w:tr>
    </w:tbl>
    <w:p w14:paraId="00C655B7" w14:textId="77777777" w:rsidR="00203D70" w:rsidRPr="00374D49" w:rsidRDefault="00203D70" w:rsidP="00FD4A5B">
      <w:pPr>
        <w:spacing w:after="0" w:line="276" w:lineRule="auto"/>
        <w:jc w:val="both"/>
        <w:rPr>
          <w:rFonts w:cs="Times New Roman"/>
          <w:i/>
          <w:iCs/>
          <w:color w:val="000000" w:themeColor="text1"/>
          <w:sz w:val="18"/>
          <w:szCs w:val="18"/>
        </w:rPr>
      </w:pPr>
    </w:p>
    <w:p w14:paraId="3F0FFEBB" w14:textId="20A8A4C8" w:rsidR="00203D70" w:rsidRPr="00374D49" w:rsidRDefault="00203D70" w:rsidP="00FD4A5B">
      <w:pPr>
        <w:spacing w:after="140" w:line="276" w:lineRule="auto"/>
        <w:jc w:val="both"/>
        <w:rPr>
          <w:rFonts w:cs="Times New Roman"/>
          <w:i/>
          <w:iCs/>
          <w:color w:val="000000" w:themeColor="text1"/>
          <w:sz w:val="18"/>
          <w:szCs w:val="18"/>
        </w:rPr>
      </w:pPr>
      <w:r>
        <w:rPr>
          <w:rFonts w:cs="Times New Roman"/>
          <w:i/>
          <w:iCs/>
          <w:color w:val="000000" w:themeColor="text1"/>
          <w:sz w:val="18"/>
          <w:szCs w:val="18"/>
        </w:rPr>
        <w:t>Higher R² and lower AICc indicate the better fit.</w:t>
      </w:r>
    </w:p>
    <w:p w14:paraId="065465E6" w14:textId="27533834"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 composite equity-deprivation index combines rural residence, distance to a facility, mothers with no formal education, and lowest-wealth-quintile status into a single 0–100 score, sorting states into four tiers. The most-deprived tier is dominated by the North-West, with Jigawa recording the highest deprivation score. The ranking reflects structural disadvantage, which is distinct from the current observed zero-dose rate: Jigawa ranks most disadvantaged on structure even though its observed rate is mid-range, while Sokoto and Kebbi combine very high deprivation with very high observed zero-dose. Tier 1 and Tier 2 states are where equity-focused investment should be concentrated.</w:t>
      </w:r>
    </w:p>
    <w:p w14:paraId="6ED5E638" w14:textId="77777777" w:rsidR="00802510" w:rsidRPr="00374D49" w:rsidRDefault="00802510"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0F4849B" wp14:editId="2DD00544">
            <wp:extent cx="5867400" cy="400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67400" cy="4000500"/>
                    </a:xfrm>
                    <a:prstGeom prst="rect">
                      <a:avLst/>
                    </a:prstGeom>
                  </pic:spPr>
                </pic:pic>
              </a:graphicData>
            </a:graphic>
          </wp:inline>
        </w:drawing>
      </w:r>
    </w:p>
    <w:p w14:paraId="1EEDDEFE" w14:textId="77777777" w:rsidR="00802510" w:rsidRPr="00374D49" w:rsidRDefault="00802510" w:rsidP="00FD4A5B">
      <w:pPr>
        <w:pStyle w:val="MyFigures"/>
        <w:spacing w:line="276" w:lineRule="auto"/>
      </w:pPr>
      <w:bookmarkStart w:id="50" w:name="_Toc242407992"/>
      <w:r>
        <w:t>Figures 5–6. Observed zero-dose by state (NDHS 2024) and the composite equity-deprivation tiers.</w:t>
      </w:r>
      <w:bookmarkEnd w:id="50"/>
    </w:p>
    <w:p w14:paraId="13EA88E2" w14:textId="77777777" w:rsidR="00881078" w:rsidRDefault="00881078">
      <w:pPr>
        <w:pStyle w:val="Heading2"/>
      </w:pPr>
      <w:bookmarkStart w:id="51" w:name="_Toc233107586"/>
    </w:p>
    <w:p w14:paraId="00001BB2" w14:textId="05AB33B0" w:rsidR="00374D49" w:rsidRDefault="00374D49">
      <w:pPr>
        <w:pStyle w:val="Heading2"/>
      </w:pPr>
      <w:bookmarkStart w:id="52" w:name="_Toc242407921"/>
      <w:r>
        <w:t>5.3.1 Equity Analysis at LGA Level</w:t>
      </w:r>
      <w:bookmarkEnd w:id="52"/>
    </w:p>
    <w:p w14:paraId="00001BB3" w14:textId="77777777" w:rsidR="00374D49" w:rsidRDefault="00374D49">
      <w:pPr>
        <w:spacing w:after="200" w:line="276" w:lineRule="auto"/>
        <w:jc w:val="both"/>
        <w:rPr>
          <w:rFonts w:cs="Times New Roman"/>
        </w:rPr>
      </w:pPr>
      <w:r>
        <w:rPr>
          <w:rFonts w:cs="Times New Roman"/>
        </w:rPr>
        <w:t>The state-level analysis in Table 4 was repeated across all 774 LGAs to give the resolution that microplanning actually requires. The result is consistent in direction and larger in magnitude: allowing each driver to act differently in different places raises the share of variation explained from 39% to 55%. More than a third of the variation a single national model cannot account for is recovered by letting the drivers vary geographically.</w:t>
      </w:r>
    </w:p>
    <w:p w14:paraId="00001BB4" w14:textId="77777777" w:rsidR="00374D49" w:rsidRDefault="00374D49">
      <w:pPr>
        <w:spacing w:after="200" w:line="276" w:lineRule="auto"/>
        <w:jc w:val="both"/>
        <w:rPr>
          <w:rFonts w:cs="Times New Roman"/>
        </w:rPr>
      </w:pPr>
      <w:r>
        <w:rPr>
          <w:rFonts w:cs="Times New Roman"/>
        </w:rPr>
        <w:t>The composite equity-deprivation index, built from travel time, maternal education, poverty and the Meta Relative Wealth Index, scored 0 to 100 and grouped into four equal bands, was likewise recalculated at LGA level on GRID3 boundaries. Tier 1, the most deprived band, is concentrated in the North-East and North-West, consistent with the state-level tiering but far more actionable, since it identifies specific LGAs within otherwise mixed states.</w:t>
      </w:r>
    </w:p>
    <w:p w14:paraId="00001BB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363D3723" wp14:editId="65790B4F">
            <wp:extent cx="5730000" cy="3031379"/>
            <wp:effectExtent l="0" t="0" r="0" b="0"/>
            <wp:docPr id="7093" name="Picture 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 name="Picture 7093"/>
                    <pic:cNvPicPr/>
                  </pic:nvPicPr>
                  <pic:blipFill>
                    <a:blip r:embed="rId21"/>
                    <a:stretch>
                      <a:fillRect/>
                    </a:stretch>
                  </pic:blipFill>
                  <pic:spPr>
                    <a:xfrm>
                      <a:off x="0" y="0"/>
                      <a:ext cx="5730000" cy="3031379"/>
                    </a:xfrm>
                    <a:prstGeom prst="rect">
                      <a:avLst/>
                    </a:prstGeom>
                  </pic:spPr>
                </pic:pic>
              </a:graphicData>
            </a:graphic>
          </wp:inline>
        </w:drawing>
      </w:r>
    </w:p>
    <w:p w14:paraId="00001BB7" w14:textId="77777777" w:rsidR="00374D49" w:rsidRDefault="00374D49">
      <w:pPr>
        <w:pStyle w:val="MyFigures"/>
        <w:spacing w:line="276" w:lineRule="auto"/>
      </w:pPr>
      <w:bookmarkStart w:id="53" w:name="_Toc242407993"/>
      <w:r>
        <w:t>Figure 6b. LGA-level composite equity-deprivation tiers, 774 LGAs (GRID3 boundaries).</w:t>
      </w:r>
      <w:bookmarkEnd w:id="53"/>
    </w:p>
    <w:p w14:paraId="00001BB8" w14:textId="77777777" w:rsidR="00374D49" w:rsidRDefault="00374D49">
      <w:pPr>
        <w:spacing w:after="200" w:line="276" w:lineRule="auto"/>
        <w:jc w:val="both"/>
        <w:rPr>
          <w:rFonts w:cs="Times New Roman"/>
        </w:rPr>
      </w:pPr>
      <w:r>
        <w:rPr>
          <w:rFonts w:cs="Times New Roman"/>
        </w:rPr>
        <w:t>The two outputs answer different questions and should be used together. The burden ranking in Section 5.5.2 shows where the most children are; the deprivation tier shows where the barriers are deepest. LGAs that are high on both should take precedence over LGAs that are high on either alone.</w:t>
      </w:r>
    </w:p>
    <w:p w14:paraId="00001BBA"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6FB3CE7B" wp14:editId="60053D64">
            <wp:extent cx="5730000" cy="3348757"/>
            <wp:effectExtent l="0" t="0" r="0" b="0"/>
            <wp:docPr id="7097" name="Picture 7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 name="Picture 7097"/>
                    <pic:cNvPicPr/>
                  </pic:nvPicPr>
                  <pic:blipFill>
                    <a:blip r:embed="rId22"/>
                    <a:stretch>
                      <a:fillRect/>
                    </a:stretch>
                  </pic:blipFill>
                  <pic:spPr>
                    <a:xfrm>
                      <a:off x="0" y="0"/>
                      <a:ext cx="5730000" cy="3348757"/>
                    </a:xfrm>
                    <a:prstGeom prst="rect">
                      <a:avLst/>
                    </a:prstGeom>
                  </pic:spPr>
                </pic:pic>
              </a:graphicData>
            </a:graphic>
          </wp:inline>
        </w:drawing>
      </w:r>
    </w:p>
    <w:p w14:paraId="00001BBB" w14:textId="77777777" w:rsidR="00374D49" w:rsidRDefault="00374D49">
      <w:pPr>
        <w:pStyle w:val="MyFigures"/>
        <w:spacing w:line="276" w:lineRule="auto"/>
      </w:pPr>
      <w:bookmarkStart w:id="54" w:name="_Toc242407994"/>
      <w:r>
        <w:t>Figure 6c. MGWR local coefficient surfaces: which barrier is strongest where. Red indicates association with higher zero-dose, blue the reverse; unmodelled LGAs are blank.</w:t>
      </w:r>
      <w:bookmarkEnd w:id="54"/>
    </w:p>
    <w:p w14:paraId="00001BBC" w14:textId="77777777" w:rsidR="00374D49" w:rsidRDefault="00374D49">
      <w:pPr>
        <w:spacing w:after="200" w:line="276" w:lineRule="auto"/>
        <w:jc w:val="both"/>
        <w:rPr>
          <w:rFonts w:cs="Times New Roman"/>
        </w:rPr>
      </w:pPr>
      <w:r>
        <w:rPr>
          <w:rFonts w:cs="Times New Roman"/>
        </w:rPr>
        <w:t>Two cautions govern interpretation. The LGA coefficients are local, standardised, partial associations and are not causal effects. LGAs without a DTP1 series in the Domain 3 analysis carry no estimate at all rather than a zero and appear blank on the maps; they should not be read as low-risk.</w:t>
      </w:r>
    </w:p>
    <w:p w14:paraId="26907870" w14:textId="3CA058F9" w:rsidR="00802510" w:rsidRPr="00374D49" w:rsidRDefault="00802510" w:rsidP="00FD4A5B">
      <w:pPr>
        <w:pStyle w:val="Heading2"/>
        <w:spacing w:line="276" w:lineRule="auto"/>
      </w:pPr>
      <w:bookmarkStart w:id="55" w:name="_Toc242407922"/>
      <w:r>
        <w:t>5.4 Domain 4 — Vaccine Hesitancy</w:t>
      </w:r>
      <w:bookmarkEnd w:id="51"/>
      <w:bookmarkEnd w:id="55"/>
    </w:p>
    <w:p w14:paraId="0F692314" w14:textId="3E9FE893" w:rsidR="00802510" w:rsidRPr="00374D49" w:rsidRDefault="00802510" w:rsidP="00FD4A5B">
      <w:pPr>
        <w:spacing w:after="140" w:line="276" w:lineRule="auto"/>
        <w:jc w:val="both"/>
        <w:rPr>
          <w:rFonts w:cs="Times New Roman"/>
          <w:color w:val="000000" w:themeColor="text1"/>
          <w:szCs w:val="24"/>
        </w:rPr>
      </w:pPr>
      <w:r>
        <w:rPr>
          <w:rFonts w:cs="Times New Roman"/>
          <w:color w:val="000000" w:themeColor="text1"/>
          <w:szCs w:val="24"/>
        </w:rPr>
        <w:t>Across 2,593 ACSM field activities in 36 states, vaccine-safety fear is the dominant caregiver concern (710 safety questions and 108 rumours), far ahead of infertility, conspiracy and political concerns. To compare states fairly, a Composite Hesitancy Index normalizes coded concerns by each state's activity volume. Plotting it against the forecast zero-dose rate shows the two are largely decoupled (Spearman rho = -0.33, p = 0.06): the most hesitant states are not the worst zero-dose states. Sokoto, Kebbi, and Zamfara sit high on burden but only mid-range on hesitancy. The practical consequence is that supply-and-access interventions and demand-generation messaging address different maps; treating zero-dose purely as a demand problem would misdirect resources.</w:t>
      </w:r>
    </w:p>
    <w:p w14:paraId="0F4295A1"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4D263EE" wp14:editId="76509DFD">
            <wp:extent cx="5715000" cy="2505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05075"/>
                    </a:xfrm>
                    <a:prstGeom prst="rect">
                      <a:avLst/>
                    </a:prstGeom>
                  </pic:spPr>
                </pic:pic>
              </a:graphicData>
            </a:graphic>
          </wp:inline>
        </w:drawing>
      </w:r>
    </w:p>
    <w:p w14:paraId="0872EB74" w14:textId="77777777" w:rsidR="00B941FD" w:rsidRPr="00374D49" w:rsidRDefault="00B941FD" w:rsidP="00FD4A5B">
      <w:pPr>
        <w:pStyle w:val="MyFigures"/>
        <w:spacing w:line="276" w:lineRule="auto"/>
      </w:pPr>
      <w:bookmarkStart w:id="56" w:name="_Toc242407995"/>
      <w:r>
        <w:t>Figures 7–8. Coded caregiver concerns and the Composite Hesitancy Index versus zero-dose burden (decoupling).</w:t>
      </w:r>
      <w:bookmarkEnd w:id="56"/>
    </w:p>
    <w:p w14:paraId="3BBF69D4" w14:textId="77777777" w:rsidR="00B941FD" w:rsidRPr="00374D49" w:rsidRDefault="00B941FD" w:rsidP="00FD4A5B">
      <w:pPr>
        <w:pStyle w:val="Heading2"/>
        <w:spacing w:line="276" w:lineRule="auto"/>
      </w:pPr>
      <w:bookmarkStart w:id="57" w:name="_Toc233107587"/>
      <w:bookmarkStart w:id="58" w:name="_Toc242407923"/>
      <w:r>
        <w:t>5.5 Domain 5 — Where Zero-Dose Children Concentrate, and the Archetypes Behind Them</w:t>
      </w:r>
      <w:bookmarkEnd w:id="57"/>
      <w:bookmarkEnd w:id="58"/>
    </w:p>
    <w:p w14:paraId="4366C920"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A Bayesian hierarchical Beta regression on the NDHS 2008-2024 series with a DHIS2 Penta1 trend term (Method 1; maximum R-hat = 1.006, no divergent transitions) produces state-level posterior forecasts with full credible intervals for 2026-2028. The three Tier-1 (Critical) states, Sokoto, Kebbi and Zamfara, carry the highest predicted rates, each with a 2026 posterior mean near or above 69%. The North-West sits in a band of its own throughout; most other states drift slowly downward, and credible intervals widen after 2024, where recent survey coverage is thinnest, reflecting honest forecast uncertainty rather than noise.</w:t>
      </w:r>
    </w:p>
    <w:p w14:paraId="798226AB" w14:textId="56E13A23" w:rsidR="003D146D" w:rsidRPr="00374D49" w:rsidRDefault="003D146D" w:rsidP="00FD4A5B">
      <w:pPr>
        <w:pStyle w:val="MyTables"/>
        <w:keepNext/>
        <w:spacing w:line="276" w:lineRule="auto"/>
      </w:pPr>
      <w:bookmarkStart w:id="59" w:name="_Toc242407967"/>
      <w:r>
        <w:t>Table 5. The nine highest-burden states by estimated zero-dose children in 2026 (extract of the full 37-state Bayesian forecast).</w:t>
      </w:r>
      <w:bookmarkEnd w:id="59"/>
    </w:p>
    <w:tbl>
      <w:tblPr>
        <w:tblStyle w:val="PlainTable5"/>
        <w:tblW w:w="9360" w:type="dxa"/>
        <w:tblLook w:val="04A0" w:firstRow="1" w:lastRow="0" w:firstColumn="1" w:lastColumn="0" w:noHBand="0" w:noVBand="1"/>
      </w:tblPr>
      <w:tblGrid>
        <w:gridCol w:w="2160"/>
        <w:gridCol w:w="2000"/>
        <w:gridCol w:w="3200"/>
        <w:gridCol w:w="2000"/>
      </w:tblGrid>
      <w:tr w:rsidR="00203D70" w:rsidRPr="00374D49" w14:paraId="52AFB56F" w14:textId="77777777" w:rsidTr="003D146D">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2160" w:type="dxa"/>
          </w:tcPr>
          <w:p w14:paraId="288632AD" w14:textId="77777777" w:rsidR="00B941FD" w:rsidRPr="00374D49" w:rsidRDefault="00B941FD" w:rsidP="00FD4A5B">
            <w:pPr>
              <w:keepNext/>
              <w:spacing w:line="276" w:lineRule="auto"/>
              <w:jc w:val="both"/>
              <w:rPr>
                <w:rFonts w:cs="Times New Roman"/>
                <w:color w:val="000000" w:themeColor="text1"/>
                <w:szCs w:val="24"/>
              </w:rPr>
            </w:pPr>
            <w:r>
              <w:rPr>
                <w:rFonts w:cs="Times New Roman"/>
                <w:b/>
                <w:bCs/>
                <w:color w:val="000000" w:themeColor="text1"/>
                <w:szCs w:val="24"/>
              </w:rPr>
              <w:t>State</w:t>
            </w:r>
          </w:p>
        </w:tc>
        <w:tc>
          <w:tcPr>
            <w:tcW w:w="2000" w:type="dxa"/>
          </w:tcPr>
          <w:p w14:paraId="3F52D57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Obs 2024 (%)</w:t>
            </w:r>
          </w:p>
        </w:tc>
        <w:tc>
          <w:tcPr>
            <w:tcW w:w="3200" w:type="dxa"/>
          </w:tcPr>
          <w:p w14:paraId="67D4F08D"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2026 mean (95% CI)</w:t>
            </w:r>
          </w:p>
        </w:tc>
        <w:tc>
          <w:tcPr>
            <w:tcW w:w="2000" w:type="dxa"/>
          </w:tcPr>
          <w:p w14:paraId="6F1D50C0" w14:textId="77777777" w:rsidR="00B941FD" w:rsidRPr="00374D49" w:rsidRDefault="00B941FD"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ZD children 2026</w:t>
            </w:r>
          </w:p>
        </w:tc>
      </w:tr>
      <w:tr w:rsidR="00203D70" w:rsidRPr="00374D49" w14:paraId="345FA2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39D03B84"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Kano</w:t>
            </w:r>
          </w:p>
        </w:tc>
        <w:tc>
          <w:tcPr>
            <w:tcW w:w="2000" w:type="dxa"/>
          </w:tcPr>
          <w:p w14:paraId="048808C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42.4</w:t>
            </w:r>
          </w:p>
        </w:tc>
        <w:tc>
          <w:tcPr>
            <w:tcW w:w="3200" w:type="dxa"/>
          </w:tcPr>
          <w:p w14:paraId="71C57B41"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36.8 (27-47)</w:t>
            </w:r>
          </w:p>
        </w:tc>
        <w:tc>
          <w:tcPr>
            <w:tcW w:w="2000" w:type="dxa"/>
          </w:tcPr>
          <w:p w14:paraId="401658F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197,005</w:t>
            </w:r>
          </w:p>
        </w:tc>
      </w:tr>
      <w:tr w:rsidR="00203D70" w:rsidRPr="00374D49" w14:paraId="6D6FFA1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93E9CCA"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Sokoto</w:t>
            </w:r>
          </w:p>
        </w:tc>
        <w:tc>
          <w:tcPr>
            <w:tcW w:w="2000" w:type="dxa"/>
          </w:tcPr>
          <w:p w14:paraId="5211D08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86.5</w:t>
            </w:r>
          </w:p>
        </w:tc>
        <w:tc>
          <w:tcPr>
            <w:tcW w:w="3200" w:type="dxa"/>
          </w:tcPr>
          <w:p w14:paraId="107A3233"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72.7 (59-84)</w:t>
            </w:r>
          </w:p>
        </w:tc>
        <w:tc>
          <w:tcPr>
            <w:tcW w:w="2000" w:type="dxa"/>
          </w:tcPr>
          <w:p w14:paraId="3AE48FDE"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170,749</w:t>
            </w:r>
          </w:p>
        </w:tc>
      </w:tr>
      <w:tr w:rsidR="00203D70" w:rsidRPr="00374D49" w14:paraId="53277137"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7BDAE26E"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Katsina</w:t>
            </w:r>
          </w:p>
        </w:tc>
        <w:tc>
          <w:tcPr>
            <w:tcW w:w="2000" w:type="dxa"/>
          </w:tcPr>
          <w:p w14:paraId="172D8349"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39.8</w:t>
            </w:r>
          </w:p>
        </w:tc>
        <w:tc>
          <w:tcPr>
            <w:tcW w:w="3200" w:type="dxa"/>
          </w:tcPr>
          <w:p w14:paraId="48123B98"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39.0 (27-52)</w:t>
            </w:r>
          </w:p>
        </w:tc>
        <w:tc>
          <w:tcPr>
            <w:tcW w:w="2000" w:type="dxa"/>
          </w:tcPr>
          <w:p w14:paraId="7E85194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169,686</w:t>
            </w:r>
          </w:p>
        </w:tc>
      </w:tr>
      <w:tr w:rsidR="00203D70" w:rsidRPr="00374D49" w14:paraId="1941F415"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2B2F1C47"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Kebbi</w:t>
            </w:r>
          </w:p>
        </w:tc>
        <w:tc>
          <w:tcPr>
            <w:tcW w:w="2000" w:type="dxa"/>
          </w:tcPr>
          <w:p w14:paraId="495CACB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84.0</w:t>
            </w:r>
          </w:p>
        </w:tc>
        <w:tc>
          <w:tcPr>
            <w:tcW w:w="3200" w:type="dxa"/>
          </w:tcPr>
          <w:p w14:paraId="035A583A"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69.0 (54-82)</w:t>
            </w:r>
          </w:p>
        </w:tc>
        <w:tc>
          <w:tcPr>
            <w:tcW w:w="2000" w:type="dxa"/>
          </w:tcPr>
          <w:p w14:paraId="3BF74C96"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155,754</w:t>
            </w:r>
          </w:p>
        </w:tc>
      </w:tr>
      <w:tr w:rsidR="00203D70" w:rsidRPr="00374D49" w14:paraId="3EA4F105"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123D7816"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Zamfara</w:t>
            </w:r>
          </w:p>
        </w:tc>
        <w:tc>
          <w:tcPr>
            <w:tcW w:w="2000" w:type="dxa"/>
          </w:tcPr>
          <w:p w14:paraId="5B34AF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82.6</w:t>
            </w:r>
          </w:p>
        </w:tc>
        <w:tc>
          <w:tcPr>
            <w:tcW w:w="3200" w:type="dxa"/>
          </w:tcPr>
          <w:p w14:paraId="0F2FFF67"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70.9 (58-83)</w:t>
            </w:r>
          </w:p>
        </w:tc>
        <w:tc>
          <w:tcPr>
            <w:tcW w:w="2000" w:type="dxa"/>
          </w:tcPr>
          <w:p w14:paraId="3F65C78B"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151,485</w:t>
            </w:r>
          </w:p>
        </w:tc>
      </w:tr>
      <w:tr w:rsidR="00203D70" w:rsidRPr="00374D49" w14:paraId="6D4EEF01"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58BF184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Kaduna</w:t>
            </w:r>
          </w:p>
        </w:tc>
        <w:tc>
          <w:tcPr>
            <w:tcW w:w="2000" w:type="dxa"/>
          </w:tcPr>
          <w:p w14:paraId="3612E589"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45.6</w:t>
            </w:r>
          </w:p>
        </w:tc>
        <w:tc>
          <w:tcPr>
            <w:tcW w:w="3200" w:type="dxa"/>
          </w:tcPr>
          <w:p w14:paraId="0DFC83C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42.0 (29-55)</w:t>
            </w:r>
          </w:p>
        </w:tc>
        <w:tc>
          <w:tcPr>
            <w:tcW w:w="2000" w:type="dxa"/>
          </w:tcPr>
          <w:p w14:paraId="2B5815F4"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133,970</w:t>
            </w:r>
          </w:p>
        </w:tc>
      </w:tr>
      <w:tr w:rsidR="00203D70" w:rsidRPr="00374D49" w14:paraId="335F39D6"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0833F081"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Bauchi</w:t>
            </w:r>
          </w:p>
        </w:tc>
        <w:tc>
          <w:tcPr>
            <w:tcW w:w="2000" w:type="dxa"/>
          </w:tcPr>
          <w:p w14:paraId="4B9E312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36.9</w:t>
            </w:r>
          </w:p>
        </w:tc>
        <w:tc>
          <w:tcPr>
            <w:tcW w:w="3200" w:type="dxa"/>
          </w:tcPr>
          <w:p w14:paraId="0ED03FB2"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 (22-46)</w:t>
            </w:r>
          </w:p>
        </w:tc>
        <w:tc>
          <w:tcPr>
            <w:tcW w:w="2000" w:type="dxa"/>
          </w:tcPr>
          <w:p w14:paraId="66284EAD"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109,358</w:t>
            </w:r>
          </w:p>
        </w:tc>
      </w:tr>
      <w:tr w:rsidR="00203D70" w:rsidRPr="00374D49" w14:paraId="787E6E8B" w14:textId="77777777" w:rsidTr="003D146D">
        <w:trPr>
          <w:cantSplit/>
        </w:trPr>
        <w:tc>
          <w:tcPr>
            <w:cnfStyle w:val="001000000000" w:firstRow="0" w:lastRow="0" w:firstColumn="1" w:lastColumn="0" w:oddVBand="0" w:evenVBand="0" w:oddHBand="0" w:evenHBand="0" w:firstRowFirstColumn="0" w:firstRowLastColumn="0" w:lastRowFirstColumn="0" w:lastRowLastColumn="0"/>
            <w:tcW w:w="2160" w:type="dxa"/>
          </w:tcPr>
          <w:p w14:paraId="673A8B4D"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Jigawa</w:t>
            </w:r>
          </w:p>
        </w:tc>
        <w:tc>
          <w:tcPr>
            <w:tcW w:w="2000" w:type="dxa"/>
          </w:tcPr>
          <w:p w14:paraId="4BFEEA87"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34.3</w:t>
            </w:r>
          </w:p>
        </w:tc>
        <w:tc>
          <w:tcPr>
            <w:tcW w:w="3200" w:type="dxa"/>
          </w:tcPr>
          <w:p w14:paraId="0D7829EB"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34.8 (22-49)</w:t>
            </w:r>
          </w:p>
        </w:tc>
        <w:tc>
          <w:tcPr>
            <w:tcW w:w="2000" w:type="dxa"/>
          </w:tcPr>
          <w:p w14:paraId="55ECCCEC" w14:textId="77777777" w:rsidR="00B941FD" w:rsidRPr="00374D49" w:rsidRDefault="00B941FD"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106,265</w:t>
            </w:r>
          </w:p>
        </w:tc>
      </w:tr>
      <w:tr w:rsidR="00203D70" w:rsidRPr="00374D49" w14:paraId="27000A49" w14:textId="77777777" w:rsidTr="003D1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60" w:type="dxa"/>
          </w:tcPr>
          <w:p w14:paraId="2563D185" w14:textId="77777777" w:rsidR="00B941FD" w:rsidRPr="00374D49" w:rsidRDefault="00B941FD" w:rsidP="00FD4A5B">
            <w:pPr>
              <w:keepNext/>
              <w:spacing w:line="276" w:lineRule="auto"/>
              <w:jc w:val="both"/>
              <w:rPr>
                <w:rFonts w:cs="Times New Roman"/>
                <w:color w:val="000000" w:themeColor="text1"/>
                <w:szCs w:val="24"/>
              </w:rPr>
            </w:pPr>
            <w:r>
              <w:rPr>
                <w:rFonts w:cs="Times New Roman"/>
                <w:color w:val="000000" w:themeColor="text1"/>
                <w:szCs w:val="24"/>
              </w:rPr>
              <w:t>Niger</w:t>
            </w:r>
          </w:p>
        </w:tc>
        <w:tc>
          <w:tcPr>
            <w:tcW w:w="2000" w:type="dxa"/>
          </w:tcPr>
          <w:p w14:paraId="01699B1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56.0</w:t>
            </w:r>
          </w:p>
        </w:tc>
        <w:tc>
          <w:tcPr>
            <w:tcW w:w="3200" w:type="dxa"/>
          </w:tcPr>
          <w:p w14:paraId="4B6F3E35"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45.0 (31-59)</w:t>
            </w:r>
          </w:p>
        </w:tc>
        <w:tc>
          <w:tcPr>
            <w:tcW w:w="2000" w:type="dxa"/>
          </w:tcPr>
          <w:p w14:paraId="05B25F56" w14:textId="77777777" w:rsidR="00B941FD" w:rsidRPr="00374D49" w:rsidRDefault="00B941FD"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104,030</w:t>
            </w:r>
          </w:p>
        </w:tc>
      </w:tr>
    </w:tbl>
    <w:p w14:paraId="24F6AC49" w14:textId="66D5FB8F" w:rsidR="00B941FD" w:rsidRPr="00374D49" w:rsidRDefault="00B941FD" w:rsidP="00FD4A5B">
      <w:pPr>
        <w:spacing w:before="40" w:after="200" w:line="276" w:lineRule="auto"/>
        <w:jc w:val="both"/>
        <w:rPr>
          <w:rFonts w:cs="Times New Roman"/>
          <w:color w:val="000000" w:themeColor="text1"/>
          <w:szCs w:val="24"/>
        </w:rPr>
      </w:pPr>
      <w:r>
        <w:rPr>
          <w:rFonts w:cs="Times New Roman"/>
          <w:i/>
          <w:iCs/>
          <w:color w:val="000000" w:themeColor="text1"/>
          <w:szCs w:val="24"/>
        </w:rPr>
        <w:t>Burden is the posterior-mean rate applied to each state's 12-to-23-month birth cohort (state total 2.07 million). LGA totals in Section 5.5.2 sum to 2.10 million because LGA rates are bounded between 1% and 99% during allocation.</w:t>
      </w:r>
    </w:p>
    <w:p w14:paraId="263C2012" w14:textId="1F4A046E"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Aggregated to zones, the North-West alone holds about 1.08 million zero-dose children in 2026, more than the other five zones combined, with the North-East and North-Central following at roughly 340,000 each. The Getis-Ord Gi* hotspot analysis confirms a single </w:t>
      </w:r>
      <w:r>
        <w:rPr>
          <w:rFonts w:cs="Times New Roman"/>
          <w:color w:val="000000" w:themeColor="text1"/>
          <w:szCs w:val="24"/>
        </w:rPr>
        <w:lastRenderedPageBreak/>
        <w:t>contiguous high-risk block across the North-West and into the North-East that persists across 2026–2028, while the South remains a coherent cold-spot. The burden is not only high in the North-West, it is entrenched and spatially stable.</w:t>
      </w:r>
    </w:p>
    <w:p w14:paraId="47975428" w14:textId="77777777" w:rsidR="00B941FD" w:rsidRPr="00374D49" w:rsidRDefault="00B941FD"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0DC9EEC5" wp14:editId="16D9B8C9">
            <wp:extent cx="5733288" cy="37307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3288" cy="3730786"/>
                    </a:xfrm>
                    <a:prstGeom prst="rect">
                      <a:avLst/>
                    </a:prstGeom>
                  </pic:spPr>
                </pic:pic>
              </a:graphicData>
            </a:graphic>
          </wp:inline>
        </w:drawing>
      </w:r>
    </w:p>
    <w:p w14:paraId="138460DE" w14:textId="77777777" w:rsidR="00B941FD" w:rsidRPr="00374D49" w:rsidRDefault="00B941FD" w:rsidP="00FD4A5B">
      <w:pPr>
        <w:pStyle w:val="MyFigures"/>
        <w:spacing w:line="276" w:lineRule="auto"/>
      </w:pPr>
      <w:bookmarkStart w:id="60" w:name="_Toc242407996"/>
      <w:r>
        <w:t>Figure 9. State-level zero-dose: NDHS 2008-2024 observations and Method 1 forecasts for 2026-2028 (shaded bands are 95% credible intervals).</w:t>
      </w:r>
      <w:bookmarkEnd w:id="60"/>
    </w:p>
    <w:p w14:paraId="572499E0" w14:textId="322FFBF2" w:rsidR="009A0D57" w:rsidRPr="00374D49" w:rsidRDefault="009A0D57" w:rsidP="00FD4A5B">
      <w:pPr>
        <w:keepNext/>
        <w:spacing w:after="1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75E13705" wp14:editId="7417A75A">
            <wp:extent cx="4754880" cy="4662862"/>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54880" cy="4662862"/>
                    </a:xfrm>
                    <a:prstGeom prst="rect">
                      <a:avLst/>
                    </a:prstGeom>
                  </pic:spPr>
                </pic:pic>
              </a:graphicData>
            </a:graphic>
          </wp:inline>
        </w:drawing>
      </w:r>
    </w:p>
    <w:p w14:paraId="2A46153A" w14:textId="5B9662E5" w:rsidR="00FC4CE8" w:rsidRPr="00374D49" w:rsidRDefault="00911BA3" w:rsidP="00FD4A5B">
      <w:pPr>
        <w:pStyle w:val="MyFigures"/>
        <w:spacing w:line="276" w:lineRule="auto"/>
      </w:pPr>
      <w:bookmarkStart w:id="61" w:name="_Toc242407997"/>
      <w:r>
        <w:t>Figure 10. Predicted state zero-dose rate (2026) with 95% credible intervals, by zone, against NDHS 2024 observed values.</w:t>
      </w:r>
      <w:bookmarkEnd w:id="61"/>
    </w:p>
    <w:p w14:paraId="5DA926F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9F2B383" wp14:editId="6EDDAB30">
            <wp:extent cx="5733288" cy="25697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33288" cy="2569704"/>
                    </a:xfrm>
                    <a:prstGeom prst="rect">
                      <a:avLst/>
                    </a:prstGeom>
                  </pic:spPr>
                </pic:pic>
              </a:graphicData>
            </a:graphic>
          </wp:inline>
        </w:drawing>
      </w:r>
    </w:p>
    <w:p w14:paraId="3D48A3DA" w14:textId="77777777" w:rsidR="00FC4CE8" w:rsidRPr="00374D49" w:rsidRDefault="00FC4CE8" w:rsidP="00FD4A5B">
      <w:pPr>
        <w:pStyle w:val="MyFigures"/>
        <w:spacing w:line="276" w:lineRule="auto"/>
      </w:pPr>
      <w:bookmarkStart w:id="62" w:name="_Toc242407998"/>
      <w:r>
        <w:t>Figures 11-12. Method 1 LGA zero-dose rate (2026) and Getis-Ord Gi* hotspot clusters, 773 LGAs.</w:t>
      </w:r>
      <w:bookmarkEnd w:id="62"/>
    </w:p>
    <w:p w14:paraId="26C2BF0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8FD415B" wp14:editId="36C10FB5">
            <wp:extent cx="5733288" cy="1882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3288" cy="1882970"/>
                    </a:xfrm>
                    <a:prstGeom prst="rect">
                      <a:avLst/>
                    </a:prstGeom>
                  </pic:spPr>
                </pic:pic>
              </a:graphicData>
            </a:graphic>
          </wp:inline>
        </w:drawing>
      </w:r>
    </w:p>
    <w:p w14:paraId="182771C5" w14:textId="77777777" w:rsidR="00FC4CE8" w:rsidRPr="00374D49" w:rsidRDefault="00FC4CE8" w:rsidP="00FD4A5B">
      <w:pPr>
        <w:pStyle w:val="MyFigures"/>
        <w:spacing w:line="276" w:lineRule="auto"/>
      </w:pPr>
      <w:bookmarkStart w:id="63" w:name="_Toc242407999"/>
      <w:r>
        <w:t>Figure 13. Forecast state zero-dose hotspots, 2026-2028 (Getis-Ord Gi*, Queen contiguity; Method 1).</w:t>
      </w:r>
      <w:bookmarkEnd w:id="63"/>
    </w:p>
    <w:p w14:paraId="00001CB0" w14:textId="77777777" w:rsidR="00374D49" w:rsidRDefault="00374D49">
      <w:pPr>
        <w:spacing w:after="200" w:line="276" w:lineRule="auto"/>
        <w:jc w:val="both"/>
        <w:rPr>
          <w:rFonts w:cs="Times New Roman"/>
        </w:rPr>
      </w:pPr>
      <w:r>
        <w:rPr>
          <w:rFonts w:cs="Times New Roman"/>
        </w:rPr>
        <w:t>A ranked list of all 773 modelled LGAs orders the burden for microplanning. The burden is concentrated, but less sharply than an 80/20 distribution would imply. The highest-burden 155 LGAs, the top 20% of LGAs, contain 51% of estimated zero-dose children. Half of the burden is reached with 151 LGAs, 60% with 199 and 80% with 342, about 44% of those modelled.</w:t>
      </w:r>
    </w:p>
    <w:p w14:paraId="00001CB1" w14:textId="77777777" w:rsidR="00374D49" w:rsidRDefault="00374D49">
      <w:pPr>
        <w:spacing w:after="200" w:line="276" w:lineRule="auto"/>
        <w:jc w:val="both"/>
        <w:rPr>
          <w:rFonts w:cs="Times New Roman"/>
        </w:rPr>
      </w:pPr>
      <w:r>
        <w:rPr>
          <w:rFonts w:cs="Times New Roman"/>
        </w:rPr>
        <w:t>The practical consequence is a two-wave effort. A first wave targeting about 151 LGAs would reach half of unreached children and is fundable as a single package. Coverage of 80% cannot be achieved from that first wave alone, so the second, extending toward 342 LGAs, should be planned alongside it rather than treated as contingent.</w:t>
      </w:r>
    </w:p>
    <w:p w14:paraId="7DEFC256"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435D185" wp14:editId="3FB3934A">
            <wp:extent cx="5120640" cy="2941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0640" cy="2941025"/>
                    </a:xfrm>
                    <a:prstGeom prst="rect">
                      <a:avLst/>
                    </a:prstGeom>
                  </pic:spPr>
                </pic:pic>
              </a:graphicData>
            </a:graphic>
          </wp:inline>
        </w:drawing>
      </w:r>
    </w:p>
    <w:p w14:paraId="71FF47CA" w14:textId="77777777" w:rsidR="00FC4CE8" w:rsidRPr="00374D49" w:rsidRDefault="00FC4CE8" w:rsidP="00FD4A5B">
      <w:pPr>
        <w:pStyle w:val="MyFigures"/>
        <w:spacing w:line="276" w:lineRule="auto"/>
      </w:pPr>
      <w:bookmarkStart w:id="64" w:name="_Toc242408000"/>
      <w:r>
        <w:t>Figure 14. Pareto concentration of zero-dose burden across 773 LGAs (Method 1; total 2.10 million children), with the LGAs needed to reach 50%, 60% and 80%.</w:t>
      </w:r>
      <w:bookmarkEnd w:id="64"/>
    </w:p>
    <w:p w14:paraId="00001BBD" w14:textId="77777777" w:rsidR="00374D49" w:rsidRDefault="00374D49">
      <w:pPr>
        <w:pStyle w:val="Heading2"/>
      </w:pPr>
      <w:bookmarkStart w:id="65" w:name="_Toc242407924"/>
      <w:r>
        <w:t>5.5.1 Community Archetypes at LGA Level</w:t>
      </w:r>
      <w:bookmarkEnd w:id="65"/>
    </w:p>
    <w:p w14:paraId="00001BBE" w14:textId="77777777" w:rsidR="00374D49" w:rsidRDefault="00374D49">
      <w:pPr>
        <w:spacing w:after="200" w:line="276" w:lineRule="auto"/>
        <w:jc w:val="both"/>
        <w:rPr>
          <w:rFonts w:cs="Times New Roman"/>
        </w:rPr>
      </w:pPr>
      <w:r>
        <w:rPr>
          <w:rFonts w:cs="Times New Roman"/>
        </w:rPr>
        <w:t xml:space="preserve">Community archetypes are the structural profiles behind zero-dose burden: groups of areas that share a barrier mix and therefore need the same response. An earlier version of this clustering was built at state level as a proof of concept, before LGA-level predictors were available. It is not carried forward here. Stakeholder review confirmed that a state-level archetype is too </w:t>
      </w:r>
      <w:r>
        <w:rPr>
          <w:rFonts w:cs="Times New Roman"/>
        </w:rPr>
        <w:lastRenderedPageBreak/>
        <w:t>coarse for operational use, since microplanning, supervision and outreach are organised at local government level and a single state commonly contains areas with materially different barriers. Once LGA-level predictors were identified, the clustering was rebuilt at that resolution, and all archetype results reported here are LGA-level.</w:t>
      </w:r>
    </w:p>
    <w:p w14:paraId="00001BBF" w14:textId="77777777" w:rsidR="00374D49" w:rsidRDefault="00374D49">
      <w:pPr>
        <w:spacing w:after="200" w:line="276" w:lineRule="auto"/>
        <w:jc w:val="both"/>
        <w:rPr>
          <w:rFonts w:cs="Times New Roman"/>
        </w:rPr>
      </w:pPr>
      <w:r>
        <w:rPr>
          <w:rFonts w:cs="Times New Roman"/>
        </w:rPr>
        <w:t>The clustering uses agglomerative (Ward) linkage on fifteen covariates drawn from IHME, DHS, the Meta Relative Wealth Index, Weiss travel-time surfaces and ACLED conflict data, across all 774 LGAs. Five archetypes emerge, each with a distinct barrier signature and a correspondingly distinct response.</w:t>
      </w:r>
    </w:p>
    <w:p w14:paraId="00001BC0" w14:textId="77777777" w:rsidR="00374D49" w:rsidRDefault="00374D49">
      <w:pPr>
        <w:spacing w:after="200" w:line="276" w:lineRule="auto"/>
        <w:jc w:val="both"/>
        <w:rPr>
          <w:rFonts w:cs="Times New Roman"/>
        </w:rPr>
      </w:pPr>
      <w:r>
        <w:rPr>
          <w:rFonts w:cs="Times New Roman"/>
        </w:rPr>
        <w:t>The clustering also provides an internal validation of the zero-dose surface. The archetypes were built from social and structural data alone: education, nutrition, poverty, wealth, travel time, antenatal care and conflict. No vaccination data of any kind entered the clustering. The archetypes nevertheless reproduce the observed geography of missed children: Archetypes 1 and 2 together hold approximately 1.52 million of the 2.10 million modelled zero-dose children (Method 1), about 72% of the national burden (77% under Method 2), across 328 of the 774 LGAs. Structural disadvantage therefore predicts where children are missed without reference to immunization data, which supports a structural, multi-sectoral response rather than immunization-only outreach.</w:t>
      </w:r>
    </w:p>
    <w:p w14:paraId="00001BC1" w14:textId="77777777" w:rsidR="00374D49" w:rsidRDefault="00374D49">
      <w:pPr>
        <w:pStyle w:val="MyTables"/>
        <w:keepNext/>
      </w:pPr>
      <w:bookmarkStart w:id="66" w:name="_Toc242407968"/>
      <w:r>
        <w:t>Table 6. The five LGA-level community archetypes, their signatures and matched intervention packages.</w:t>
      </w:r>
      <w:bookmarkEnd w:id="66"/>
    </w:p>
    <w:tbl>
      <w:tblPr>
        <w:tblStyle w:val="PlainTable5"/>
        <w:tblW w:w="9026" w:type="dxa"/>
        <w:tblLook w:val="04A0" w:firstRow="1" w:lastRow="0" w:firstColumn="1" w:lastColumn="0" w:noHBand="0" w:noVBand="1"/>
      </w:tblPr>
      <w:tblGrid>
        <w:gridCol w:w="360"/>
        <w:gridCol w:w="1380"/>
        <w:gridCol w:w="640"/>
        <w:gridCol w:w="980"/>
        <w:gridCol w:w="780"/>
        <w:gridCol w:w="2230"/>
        <w:gridCol w:w="2656"/>
      </w:tblGrid>
      <w:tr w:rsidR="00374D49" w14:paraId="00001BC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360" w:type="dxa"/>
            <w:vAlign w:val="center"/>
          </w:tcPr>
          <w:p w14:paraId="00001BC3" w14:textId="77777777" w:rsidR="00374D49" w:rsidRDefault="00374D49">
            <w:pPr>
              <w:keepNext/>
              <w:rPr>
                <w:rFonts w:cs="Times New Roman"/>
                <w:b/>
                <w:sz w:val="16"/>
                <w:szCs w:val="16"/>
              </w:rPr>
            </w:pPr>
            <w:r>
              <w:rPr>
                <w:rFonts w:cs="Times New Roman"/>
                <w:b/>
                <w:sz w:val="16"/>
                <w:szCs w:val="16"/>
              </w:rPr>
              <w:t>#</w:t>
            </w:r>
          </w:p>
        </w:tc>
        <w:tc>
          <w:tcPr>
            <w:tcW w:w="1380" w:type="dxa"/>
            <w:vAlign w:val="center"/>
          </w:tcPr>
          <w:p w14:paraId="00001BC4"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Archetype (example states)</w:t>
            </w:r>
          </w:p>
        </w:tc>
        <w:tc>
          <w:tcPr>
            <w:tcW w:w="640" w:type="dxa"/>
            <w:vAlign w:val="center"/>
          </w:tcPr>
          <w:p w14:paraId="00001BC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980" w:type="dxa"/>
            <w:vAlign w:val="center"/>
          </w:tcPr>
          <w:p w14:paraId="00001BC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780" w:type="dxa"/>
            <w:vAlign w:val="center"/>
          </w:tcPr>
          <w:p w14:paraId="00001BC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Mean rate</w:t>
            </w:r>
          </w:p>
        </w:tc>
        <w:tc>
          <w:tcPr>
            <w:tcW w:w="2230" w:type="dxa"/>
            <w:vAlign w:val="center"/>
          </w:tcPr>
          <w:p w14:paraId="00001BC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Defining signature</w:t>
            </w:r>
          </w:p>
        </w:tc>
        <w:tc>
          <w:tcPr>
            <w:tcW w:w="2656" w:type="dxa"/>
            <w:vAlign w:val="center"/>
          </w:tcPr>
          <w:p w14:paraId="00001BC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Priority intervention</w:t>
            </w:r>
          </w:p>
        </w:tc>
      </w:tr>
      <w:tr w:rsidR="00374D49" w14:paraId="00001BC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CB" w14:textId="77777777" w:rsidR="00374D49" w:rsidRDefault="00374D49">
            <w:pPr>
              <w:keepNext/>
              <w:rPr>
                <w:rFonts w:cs="Times New Roman"/>
                <w:sz w:val="16"/>
                <w:szCs w:val="16"/>
              </w:rPr>
            </w:pPr>
            <w:r>
              <w:rPr>
                <w:rFonts w:cs="Times New Roman"/>
                <w:sz w:val="16"/>
                <w:szCs w:val="16"/>
              </w:rPr>
              <w:t>1</w:t>
            </w:r>
          </w:p>
        </w:tc>
        <w:tc>
          <w:tcPr>
            <w:tcW w:w="1380" w:type="dxa"/>
            <w:vAlign w:val="center"/>
          </w:tcPr>
          <w:p w14:paraId="00001BCC"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Remote Rural /</w:t>
            </w:r>
          </w:p>
          <w:p w14:paraId="00001BC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Hard-to-Reach</w:t>
            </w:r>
          </w:p>
          <w:p w14:paraId="00001BC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(Kano, Jigawa, Katsina)</w:t>
            </w:r>
          </w:p>
        </w:tc>
        <w:tc>
          <w:tcPr>
            <w:tcW w:w="640" w:type="dxa"/>
            <w:vAlign w:val="center"/>
          </w:tcPr>
          <w:p w14:paraId="00001BC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980" w:type="dxa"/>
            <w:vAlign w:val="center"/>
          </w:tcPr>
          <w:p w14:paraId="00001BD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r>
              <w:rPr>
                <w:rFonts w:cs="Times New Roman"/>
                <w:sz w:val="16"/>
                <w:szCs w:val="16"/>
              </w:rPr>
              <w:br/>
              <w:t>(33%)</w:t>
            </w:r>
          </w:p>
        </w:tc>
        <w:tc>
          <w:tcPr>
            <w:tcW w:w="780" w:type="dxa"/>
            <w:vAlign w:val="center"/>
          </w:tcPr>
          <w:p w14:paraId="00001B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2230" w:type="dxa"/>
            <w:vAlign w:val="center"/>
          </w:tcPr>
          <w:p w14:paraId="00001BD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child undernutrition; lowest maternal education (~2.5 yrs) and facility delivery (~10%)</w:t>
            </w:r>
          </w:p>
        </w:tc>
        <w:tc>
          <w:tcPr>
            <w:tcW w:w="2656" w:type="dxa"/>
            <w:vAlign w:val="center"/>
          </w:tcPr>
          <w:p w14:paraId="00001BD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with nutrition and antenatal care</w:t>
            </w:r>
          </w:p>
        </w:tc>
      </w:tr>
      <w:tr w:rsidR="00374D49" w14:paraId="00001BD5"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D6" w14:textId="77777777" w:rsidR="00374D49" w:rsidRDefault="00374D49">
            <w:pPr>
              <w:keepNext/>
              <w:rPr>
                <w:rFonts w:cs="Times New Roman"/>
                <w:sz w:val="16"/>
                <w:szCs w:val="16"/>
              </w:rPr>
            </w:pPr>
            <w:r>
              <w:rPr>
                <w:rFonts w:cs="Times New Roman"/>
                <w:sz w:val="16"/>
                <w:szCs w:val="16"/>
              </w:rPr>
              <w:t>2</w:t>
            </w:r>
          </w:p>
        </w:tc>
        <w:tc>
          <w:tcPr>
            <w:tcW w:w="1380" w:type="dxa"/>
            <w:vAlign w:val="center"/>
          </w:tcPr>
          <w:p w14:paraId="00001BD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Conflict-Affected /</w:t>
            </w:r>
          </w:p>
          <w:p w14:paraId="00001BD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Nomadic</w:t>
            </w:r>
          </w:p>
          <w:p w14:paraId="00001BD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(Borno, Niger, Adamawa)</w:t>
            </w:r>
          </w:p>
        </w:tc>
        <w:tc>
          <w:tcPr>
            <w:tcW w:w="640" w:type="dxa"/>
            <w:vAlign w:val="center"/>
          </w:tcPr>
          <w:p w14:paraId="00001B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980" w:type="dxa"/>
            <w:vAlign w:val="center"/>
          </w:tcPr>
          <w:p w14:paraId="00001BD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r>
              <w:rPr>
                <w:rFonts w:cs="Times New Roman"/>
                <w:sz w:val="16"/>
                <w:szCs w:val="16"/>
              </w:rPr>
              <w:br/>
              <w:t>(39%)</w:t>
            </w:r>
          </w:p>
        </w:tc>
        <w:tc>
          <w:tcPr>
            <w:tcW w:w="780" w:type="dxa"/>
            <w:vAlign w:val="center"/>
          </w:tcPr>
          <w:p w14:paraId="00001BD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2230" w:type="dxa"/>
            <w:vAlign w:val="center"/>
          </w:tcPr>
          <w:p w14:paraId="00001BD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Highest political-violence fatalities; high antigen dropout; weak antenatal care and delivery</w:t>
            </w:r>
          </w:p>
        </w:tc>
        <w:tc>
          <w:tcPr>
            <w:tcW w:w="2656" w:type="dxa"/>
            <w:vAlign w:val="center"/>
          </w:tcPr>
          <w:p w14:paraId="00001BD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w:t>
            </w:r>
          </w:p>
        </w:tc>
      </w:tr>
      <w:tr w:rsidR="00374D49" w14:paraId="00001B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1" w14:textId="77777777" w:rsidR="00374D49" w:rsidRDefault="00374D49">
            <w:pPr>
              <w:keepNext/>
              <w:rPr>
                <w:rFonts w:cs="Times New Roman"/>
                <w:sz w:val="16"/>
                <w:szCs w:val="16"/>
              </w:rPr>
            </w:pPr>
            <w:r>
              <w:rPr>
                <w:rFonts w:cs="Times New Roman"/>
                <w:sz w:val="16"/>
                <w:szCs w:val="16"/>
              </w:rPr>
              <w:t>3</w:t>
            </w:r>
          </w:p>
        </w:tc>
        <w:tc>
          <w:tcPr>
            <w:tcW w:w="1380" w:type="dxa"/>
            <w:vAlign w:val="center"/>
          </w:tcPr>
          <w:p w14:paraId="00001BE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Riverine /</w:t>
            </w:r>
          </w:p>
          <w:p w14:paraId="00001BE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Geographically Isolated</w:t>
            </w:r>
          </w:p>
          <w:p w14:paraId="00001BE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(Cross River, Bayelsa, Delta)</w:t>
            </w:r>
          </w:p>
        </w:tc>
        <w:tc>
          <w:tcPr>
            <w:tcW w:w="640" w:type="dxa"/>
            <w:vAlign w:val="center"/>
          </w:tcPr>
          <w:p w14:paraId="00001B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980" w:type="dxa"/>
            <w:vAlign w:val="center"/>
          </w:tcPr>
          <w:p w14:paraId="00001BE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r>
              <w:rPr>
                <w:rFonts w:cs="Times New Roman"/>
                <w:sz w:val="16"/>
                <w:szCs w:val="16"/>
              </w:rPr>
              <w:br/>
              <w:t>(1%)</w:t>
            </w:r>
          </w:p>
        </w:tc>
        <w:tc>
          <w:tcPr>
            <w:tcW w:w="780" w:type="dxa"/>
            <w:vAlign w:val="center"/>
          </w:tcPr>
          <w:p w14:paraId="00001BE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2230" w:type="dxa"/>
            <w:vAlign w:val="center"/>
          </w:tcPr>
          <w:p w14:paraId="00001BE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Extreme travel time to care (~108 minutes); low improved-water access</w:t>
            </w:r>
          </w:p>
        </w:tc>
        <w:tc>
          <w:tcPr>
            <w:tcW w:w="2656" w:type="dxa"/>
            <w:vAlign w:val="center"/>
          </w:tcPr>
          <w:p w14:paraId="00001B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bundling per visit</w:t>
            </w:r>
          </w:p>
        </w:tc>
      </w:tr>
      <w:tr w:rsidR="00374D49" w14:paraId="00001BEB" w14:textId="77777777">
        <w:trPr>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EC" w14:textId="77777777" w:rsidR="00374D49" w:rsidRDefault="00374D49">
            <w:pPr>
              <w:keepNext/>
              <w:rPr>
                <w:rFonts w:cs="Times New Roman"/>
                <w:sz w:val="16"/>
                <w:szCs w:val="16"/>
              </w:rPr>
            </w:pPr>
            <w:r>
              <w:rPr>
                <w:rFonts w:cs="Times New Roman"/>
                <w:sz w:val="16"/>
                <w:szCs w:val="16"/>
              </w:rPr>
              <w:t>4</w:t>
            </w:r>
          </w:p>
        </w:tc>
        <w:tc>
          <w:tcPr>
            <w:tcW w:w="1380" w:type="dxa"/>
            <w:vAlign w:val="center"/>
          </w:tcPr>
          <w:p w14:paraId="00001BED"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Peri-urban /</w:t>
            </w:r>
          </w:p>
          <w:p w14:paraId="00001BE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Migrant Dense</w:t>
            </w:r>
          </w:p>
          <w:p w14:paraId="00001BE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(Osun, Akwa Ibom, Oyo)</w:t>
            </w:r>
          </w:p>
        </w:tc>
        <w:tc>
          <w:tcPr>
            <w:tcW w:w="640" w:type="dxa"/>
            <w:vAlign w:val="center"/>
          </w:tcPr>
          <w:p w14:paraId="00001BF0"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980" w:type="dxa"/>
            <w:vAlign w:val="center"/>
          </w:tcPr>
          <w:p w14:paraId="00001BF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r>
              <w:rPr>
                <w:rFonts w:cs="Times New Roman"/>
                <w:sz w:val="16"/>
                <w:szCs w:val="16"/>
              </w:rPr>
              <w:br/>
              <w:t>(20%)</w:t>
            </w:r>
          </w:p>
        </w:tc>
        <w:tc>
          <w:tcPr>
            <w:tcW w:w="780" w:type="dxa"/>
            <w:vAlign w:val="center"/>
          </w:tcPr>
          <w:p w14:paraId="00001BF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2230" w:type="dxa"/>
            <w:vAlign w:val="center"/>
          </w:tcPr>
          <w:p w14:paraId="00001BF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Moderate on all fronts; fair care-seeking (ANC 72%, delivery 61%)</w:t>
            </w:r>
          </w:p>
        </w:tc>
        <w:tc>
          <w:tcPr>
            <w:tcW w:w="2656" w:type="dxa"/>
            <w:vAlign w:val="center"/>
          </w:tcPr>
          <w:p w14:paraId="00001BF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w:t>
            </w:r>
          </w:p>
        </w:tc>
      </w:tr>
      <w:tr w:rsidR="00374D49" w14:paraId="00001BF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60" w:type="dxa"/>
            <w:vAlign w:val="center"/>
          </w:tcPr>
          <w:p w14:paraId="00001BF7" w14:textId="77777777" w:rsidR="00374D49" w:rsidRDefault="00374D49">
            <w:pPr>
              <w:rPr>
                <w:rFonts w:cs="Times New Roman"/>
                <w:sz w:val="16"/>
                <w:szCs w:val="16"/>
              </w:rPr>
            </w:pPr>
            <w:r>
              <w:rPr>
                <w:rFonts w:cs="Times New Roman"/>
                <w:sz w:val="16"/>
                <w:szCs w:val="16"/>
              </w:rPr>
              <w:t>5</w:t>
            </w:r>
          </w:p>
        </w:tc>
        <w:tc>
          <w:tcPr>
            <w:tcW w:w="1380" w:type="dxa"/>
            <w:vAlign w:val="center"/>
          </w:tcPr>
          <w:p w14:paraId="00001BF8"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Urban Slums</w:t>
            </w:r>
          </w:p>
          <w:p w14:paraId="00001BF9"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(better-off core)</w:t>
            </w:r>
          </w:p>
          <w:p w14:paraId="00001BFA"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(Imo, Anambra, Lagos)</w:t>
            </w:r>
          </w:p>
        </w:tc>
        <w:tc>
          <w:tcPr>
            <w:tcW w:w="640" w:type="dxa"/>
            <w:vAlign w:val="center"/>
          </w:tcPr>
          <w:p w14:paraId="00001BFB"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980" w:type="dxa"/>
            <w:vAlign w:val="center"/>
          </w:tcPr>
          <w:p w14:paraId="00001BFC"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r>
              <w:rPr>
                <w:rFonts w:cs="Times New Roman"/>
                <w:sz w:val="16"/>
                <w:szCs w:val="16"/>
              </w:rPr>
              <w:br/>
              <w:t>(6%)</w:t>
            </w:r>
          </w:p>
        </w:tc>
        <w:tc>
          <w:tcPr>
            <w:tcW w:w="780" w:type="dxa"/>
            <w:vAlign w:val="center"/>
          </w:tcPr>
          <w:p w14:paraId="00001BF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2230" w:type="dxa"/>
            <w:vAlign w:val="center"/>
          </w:tcPr>
          <w:p w14:paraId="00001BF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Highest wealth and education (~9.6 yrs) and facility delivery (78%); residual informal-settlement gaps</w:t>
            </w:r>
          </w:p>
        </w:tc>
        <w:tc>
          <w:tcPr>
            <w:tcW w:w="2656" w:type="dxa"/>
            <w:vAlign w:val="center"/>
          </w:tcPr>
          <w:p w14:paraId="00001C0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mobilisation, a fixed-plus-outreach hybrid, and private-sector last-mile reach</w:t>
            </w:r>
          </w:p>
        </w:tc>
      </w:tr>
    </w:tbl>
    <w:p w14:paraId="00001C01" w14:textId="77777777" w:rsidR="00374D49" w:rsidRDefault="00374D49">
      <w:pPr>
        <w:spacing w:after="200" w:line="276" w:lineRule="auto"/>
        <w:rPr>
          <w:rFonts w:cs="Times New Roman"/>
        </w:rPr>
      </w:pPr>
    </w:p>
    <w:p w14:paraId="00001C02" w14:textId="77777777" w:rsidR="00374D49" w:rsidRDefault="00374D49">
      <w:pPr>
        <w:spacing w:after="200" w:line="276" w:lineRule="auto"/>
        <w:jc w:val="both"/>
        <w:rPr>
          <w:rFonts w:cs="Times New Roman"/>
          <w:i/>
          <w:sz w:val="16"/>
          <w:szCs w:val="16"/>
        </w:rPr>
      </w:pPr>
      <w:r>
        <w:rPr>
          <w:rFonts w:cs="Times New Roman"/>
          <w:i/>
          <w:sz w:val="16"/>
          <w:szCs w:val="16"/>
        </w:rPr>
        <w:t>Model estimate. Agglomerative (Ward) clustering of 15 covariates across all 774 LGAs. Example states are illustrative rather than exhaustive, since archetypes are assigned per LGA, so a single state may contain several. Zero-dose children and mean LGA rates are Method 1 estimates; percentages are of the 2.10 million national total. Method 2 values are given in Figure 15 and the government workbook. BHCPF = Basic Health Care Provision Fund.</w:t>
      </w:r>
    </w:p>
    <w:p w14:paraId="00001C04"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44111725" wp14:editId="5EB1BCE8">
            <wp:extent cx="5733288" cy="3027506"/>
            <wp:effectExtent l="0" t="0" r="0" b="0"/>
            <wp:docPr id="7171" name="Picture 7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pic:cNvPicPr/>
                  </pic:nvPicPr>
                  <pic:blipFill>
                    <a:blip r:embed="rId29"/>
                    <a:stretch>
                      <a:fillRect/>
                    </a:stretch>
                  </pic:blipFill>
                  <pic:spPr>
                    <a:xfrm>
                      <a:off x="0" y="0"/>
                      <a:ext cx="5733288" cy="3027506"/>
                    </a:xfrm>
                    <a:prstGeom prst="rect">
                      <a:avLst/>
                    </a:prstGeom>
                  </pic:spPr>
                </pic:pic>
              </a:graphicData>
            </a:graphic>
          </wp:inline>
        </w:drawing>
      </w:r>
    </w:p>
    <w:p w14:paraId="00001C05" w14:textId="77777777" w:rsidR="00374D49" w:rsidRDefault="00374D49">
      <w:pPr>
        <w:pStyle w:val="MyFigures"/>
        <w:spacing w:line="276" w:lineRule="auto"/>
      </w:pPr>
      <w:bookmarkStart w:id="67" w:name="_Toc242408001"/>
      <w:r>
        <w:t>Figure 15. LGA archetypes (774 LGAs) and each archetype's share of children and of modelled zero-dose children under both methods.</w:t>
      </w:r>
      <w:bookmarkEnd w:id="67"/>
    </w:p>
    <w:p w14:paraId="00001C06" w14:textId="77777777" w:rsidR="00374D49" w:rsidRDefault="00374D49">
      <w:pPr>
        <w:spacing w:after="200" w:line="276" w:lineRule="auto"/>
        <w:jc w:val="both"/>
        <w:rPr>
          <w:rFonts w:cs="Times New Roman"/>
        </w:rPr>
      </w:pPr>
      <w:r>
        <w:rPr>
          <w:rFonts w:cs="Times New Roman"/>
        </w:rPr>
        <w:t>Archetype boundaries do not coincide with state boundaries. A single state may contain both Archetype 1 and Archetype 5 LGAs, which is why intervention packages should be assigned at local government level rather than delivered through whole-state campaigns.</w:t>
      </w:r>
    </w:p>
    <w:p w14:paraId="00001C07" w14:textId="77777777" w:rsidR="00374D49" w:rsidRDefault="00374D49">
      <w:pPr>
        <w:pStyle w:val="Heading2"/>
      </w:pPr>
      <w:bookmarkStart w:id="68" w:name="_Toc242407925"/>
      <w:r>
        <w:t>5.5.2 The Ranked LGA Priority List</w:t>
      </w:r>
      <w:bookmarkEnd w:id="68"/>
    </w:p>
    <w:p w14:paraId="00001C08" w14:textId="77777777" w:rsidR="00374D49" w:rsidRDefault="00374D49">
      <w:pPr>
        <w:spacing w:after="200" w:line="276" w:lineRule="auto"/>
        <w:jc w:val="both"/>
        <w:rPr>
          <w:rFonts w:cs="Times New Roman"/>
        </w:rPr>
      </w:pPr>
      <w:r>
        <w:rPr>
          <w:rFonts w:cs="Times New Roman"/>
        </w:rPr>
        <w:t>Every modelled LGA is ranked worst-to-best by estimated zero-dose burden, providing the prioritisation ordering required for microplanning. As Figure 14 shows, the 151 highest-burden LGAs reach half of all zero-dose children, 199 reach 60% and 342 reach 80%. The ten highest-burden LGAs under Method 1 are shown below; the full ranked list for both methods, filterable by state and priority tier, is held in the platform and in the government workbook.</w:t>
      </w:r>
    </w:p>
    <w:p w14:paraId="00001C09" w14:textId="77777777" w:rsidR="00374D49" w:rsidRDefault="00374D49">
      <w:pPr>
        <w:pStyle w:val="MyTables"/>
        <w:keepNext/>
      </w:pPr>
      <w:bookmarkStart w:id="69" w:name="_Toc242407969"/>
      <w:r>
        <w:t>Table 6b. The ten highest-burden LGAs by modelled zero-dose children, 2026 (Method 1).</w:t>
      </w:r>
      <w:bookmarkEnd w:id="69"/>
    </w:p>
    <w:tbl>
      <w:tblPr>
        <w:tblStyle w:val="PlainTable5"/>
        <w:tblW w:w="9026" w:type="dxa"/>
        <w:tblLook w:val="04A0" w:firstRow="1" w:lastRow="0" w:firstColumn="1" w:lastColumn="0" w:noHBand="0" w:noVBand="1"/>
      </w:tblPr>
      <w:tblGrid>
        <w:gridCol w:w="800"/>
        <w:gridCol w:w="1450"/>
        <w:gridCol w:w="2000"/>
        <w:gridCol w:w="1650"/>
        <w:gridCol w:w="1900"/>
        <w:gridCol w:w="1226"/>
      </w:tblGrid>
      <w:tr w:rsidR="00374D49" w14:paraId="00001C0A"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800" w:type="dxa"/>
            <w:vAlign w:val="center"/>
          </w:tcPr>
          <w:p w14:paraId="00001C0B" w14:textId="77777777" w:rsidR="00374D49" w:rsidRDefault="00374D49">
            <w:pPr>
              <w:keepNext/>
              <w:rPr>
                <w:rFonts w:cs="Times New Roman"/>
                <w:b/>
                <w:sz w:val="16"/>
                <w:szCs w:val="16"/>
              </w:rPr>
            </w:pPr>
            <w:r>
              <w:rPr>
                <w:rFonts w:cs="Times New Roman"/>
                <w:b/>
                <w:sz w:val="16"/>
                <w:szCs w:val="16"/>
              </w:rPr>
              <w:t>Rank</w:t>
            </w:r>
          </w:p>
        </w:tc>
        <w:tc>
          <w:tcPr>
            <w:tcW w:w="1450" w:type="dxa"/>
            <w:vAlign w:val="center"/>
          </w:tcPr>
          <w:p w14:paraId="00001C0C"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State</w:t>
            </w:r>
          </w:p>
        </w:tc>
        <w:tc>
          <w:tcPr>
            <w:tcW w:w="2000" w:type="dxa"/>
            <w:vAlign w:val="center"/>
          </w:tcPr>
          <w:p w14:paraId="00001C0D"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w:t>
            </w:r>
          </w:p>
        </w:tc>
        <w:tc>
          <w:tcPr>
            <w:tcW w:w="1650" w:type="dxa"/>
            <w:vAlign w:val="center"/>
          </w:tcPr>
          <w:p w14:paraId="00001C0E"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Zone</w:t>
            </w:r>
          </w:p>
        </w:tc>
        <w:tc>
          <w:tcPr>
            <w:tcW w:w="1900" w:type="dxa"/>
            <w:vAlign w:val="center"/>
          </w:tcPr>
          <w:p w14:paraId="00001C0F"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1226" w:type="dxa"/>
            <w:vAlign w:val="center"/>
          </w:tcPr>
          <w:p w14:paraId="00001C10"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Rate (%)</w:t>
            </w:r>
          </w:p>
        </w:tc>
      </w:tr>
      <w:tr w:rsidR="00374D49" w14:paraId="00001C1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0001C12" w14:textId="77777777" w:rsidR="00374D49" w:rsidRDefault="00374D49">
            <w:pPr>
              <w:keepNext/>
              <w:rPr>
                <w:rFonts w:cs="Times New Roman"/>
                <w:sz w:val="16"/>
                <w:szCs w:val="16"/>
              </w:rPr>
            </w:pPr>
            <w:r>
              <w:rPr>
                <w:rFonts w:cs="Times New Roman"/>
                <w:sz w:val="16"/>
                <w:szCs w:val="16"/>
              </w:rPr>
              <w:t>1</w:t>
            </w:r>
          </w:p>
        </w:tc>
        <w:tc>
          <w:tcPr>
            <w:tcW w:w="1450" w:type="dxa"/>
            <w:vAlign w:val="center"/>
          </w:tcPr>
          <w:p w14:paraId="00001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0001C1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Bukkuyum</w:t>
            </w:r>
          </w:p>
        </w:tc>
        <w:tc>
          <w:tcPr>
            <w:tcW w:w="1650" w:type="dxa"/>
            <w:vAlign w:val="center"/>
          </w:tcPr>
          <w:p w14:paraId="00001C1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0001C1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13,589</w:t>
            </w:r>
          </w:p>
        </w:tc>
        <w:tc>
          <w:tcPr>
            <w:tcW w:w="1226" w:type="dxa"/>
            <w:vAlign w:val="center"/>
          </w:tcPr>
          <w:p w14:paraId="00001C17"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87.8</w:t>
            </w:r>
          </w:p>
        </w:tc>
      </w:tr>
      <w:tr w:rsidR="00374D49" w14:paraId="38C00EFA"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5884F26C" w14:textId="77777777" w:rsidR="00374D49" w:rsidRDefault="00374D49">
            <w:pPr>
              <w:keepNext/>
              <w:rPr>
                <w:rFonts w:cs="Times New Roman"/>
                <w:sz w:val="16"/>
                <w:szCs w:val="16"/>
              </w:rPr>
            </w:pPr>
            <w:r>
              <w:rPr>
                <w:rFonts w:cs="Times New Roman"/>
                <w:sz w:val="16"/>
                <w:szCs w:val="16"/>
              </w:rPr>
              <w:t>2</w:t>
            </w:r>
          </w:p>
        </w:tc>
        <w:tc>
          <w:tcPr>
            <w:tcW w:w="1450" w:type="dxa"/>
            <w:vAlign w:val="center"/>
          </w:tcPr>
          <w:p w14:paraId="7F5507E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1D0D9E"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Bakura</w:t>
            </w:r>
          </w:p>
        </w:tc>
        <w:tc>
          <w:tcPr>
            <w:tcW w:w="1650" w:type="dxa"/>
            <w:vAlign w:val="center"/>
          </w:tcPr>
          <w:p w14:paraId="01A06B6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244EB6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13,253</w:t>
            </w:r>
          </w:p>
        </w:tc>
        <w:tc>
          <w:tcPr>
            <w:tcW w:w="1226" w:type="dxa"/>
            <w:vAlign w:val="center"/>
          </w:tcPr>
          <w:p w14:paraId="290826A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99.0</w:t>
            </w:r>
          </w:p>
        </w:tc>
      </w:tr>
      <w:tr w:rsidR="00374D49" w14:paraId="072D5C7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3B0B5564" w14:textId="77777777" w:rsidR="00374D49" w:rsidRDefault="00374D49">
            <w:pPr>
              <w:keepNext/>
              <w:rPr>
                <w:rFonts w:cs="Times New Roman"/>
                <w:sz w:val="16"/>
                <w:szCs w:val="16"/>
              </w:rPr>
            </w:pPr>
            <w:r>
              <w:rPr>
                <w:rFonts w:cs="Times New Roman"/>
                <w:sz w:val="16"/>
                <w:szCs w:val="16"/>
              </w:rPr>
              <w:t>3</w:t>
            </w:r>
          </w:p>
        </w:tc>
        <w:tc>
          <w:tcPr>
            <w:tcW w:w="1450" w:type="dxa"/>
            <w:vAlign w:val="center"/>
          </w:tcPr>
          <w:p w14:paraId="3CD7A0E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374504B4"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Tambuwal</w:t>
            </w:r>
          </w:p>
        </w:tc>
        <w:tc>
          <w:tcPr>
            <w:tcW w:w="1650" w:type="dxa"/>
            <w:vAlign w:val="center"/>
          </w:tcPr>
          <w:p w14:paraId="6DD2431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6655B38"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12,738</w:t>
            </w:r>
          </w:p>
        </w:tc>
        <w:tc>
          <w:tcPr>
            <w:tcW w:w="1226" w:type="dxa"/>
            <w:vAlign w:val="center"/>
          </w:tcPr>
          <w:p w14:paraId="69694949"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83.2</w:t>
            </w:r>
          </w:p>
        </w:tc>
      </w:tr>
      <w:tr w:rsidR="00374D49" w14:paraId="25DF295E"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2415775" w14:textId="77777777" w:rsidR="00374D49" w:rsidRDefault="00374D49">
            <w:pPr>
              <w:keepNext/>
              <w:rPr>
                <w:rFonts w:cs="Times New Roman"/>
                <w:sz w:val="16"/>
                <w:szCs w:val="16"/>
              </w:rPr>
            </w:pPr>
            <w:r>
              <w:rPr>
                <w:rFonts w:cs="Times New Roman"/>
                <w:sz w:val="16"/>
                <w:szCs w:val="16"/>
              </w:rPr>
              <w:t>4</w:t>
            </w:r>
          </w:p>
        </w:tc>
        <w:tc>
          <w:tcPr>
            <w:tcW w:w="1450" w:type="dxa"/>
            <w:vAlign w:val="center"/>
          </w:tcPr>
          <w:p w14:paraId="4FC52AF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5A0E7BE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Birnin Magaji</w:t>
            </w:r>
          </w:p>
        </w:tc>
        <w:tc>
          <w:tcPr>
            <w:tcW w:w="1650" w:type="dxa"/>
            <w:vAlign w:val="center"/>
          </w:tcPr>
          <w:p w14:paraId="78B3566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1305B9CF"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12,223</w:t>
            </w:r>
          </w:p>
        </w:tc>
        <w:tc>
          <w:tcPr>
            <w:tcW w:w="1226" w:type="dxa"/>
            <w:vAlign w:val="center"/>
          </w:tcPr>
          <w:p w14:paraId="5DB5E35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92.8</w:t>
            </w:r>
          </w:p>
        </w:tc>
      </w:tr>
      <w:tr w:rsidR="00374D49" w14:paraId="5D5204D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D42CDCA" w14:textId="77777777" w:rsidR="00374D49" w:rsidRDefault="00374D49">
            <w:pPr>
              <w:keepNext/>
              <w:rPr>
                <w:rFonts w:cs="Times New Roman"/>
                <w:sz w:val="16"/>
                <w:szCs w:val="16"/>
              </w:rPr>
            </w:pPr>
            <w:r>
              <w:rPr>
                <w:rFonts w:cs="Times New Roman"/>
                <w:sz w:val="16"/>
                <w:szCs w:val="16"/>
              </w:rPr>
              <w:t>5</w:t>
            </w:r>
          </w:p>
        </w:tc>
        <w:tc>
          <w:tcPr>
            <w:tcW w:w="1450" w:type="dxa"/>
            <w:vAlign w:val="center"/>
          </w:tcPr>
          <w:p w14:paraId="06DDCC0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05E7DB2B"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Maradun</w:t>
            </w:r>
          </w:p>
        </w:tc>
        <w:tc>
          <w:tcPr>
            <w:tcW w:w="1650" w:type="dxa"/>
            <w:vAlign w:val="center"/>
          </w:tcPr>
          <w:p w14:paraId="2ACFB8D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7DF20C9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12,057</w:t>
            </w:r>
          </w:p>
        </w:tc>
        <w:tc>
          <w:tcPr>
            <w:tcW w:w="1226" w:type="dxa"/>
            <w:vAlign w:val="center"/>
          </w:tcPr>
          <w:p w14:paraId="49DA789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81.2</w:t>
            </w:r>
          </w:p>
        </w:tc>
      </w:tr>
      <w:tr w:rsidR="00374D49" w14:paraId="07488B39"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E91665B" w14:textId="77777777" w:rsidR="00374D49" w:rsidRDefault="00374D49">
            <w:pPr>
              <w:keepNext/>
              <w:rPr>
                <w:rFonts w:cs="Times New Roman"/>
                <w:sz w:val="16"/>
                <w:szCs w:val="16"/>
              </w:rPr>
            </w:pPr>
            <w:r>
              <w:rPr>
                <w:rFonts w:cs="Times New Roman"/>
                <w:sz w:val="16"/>
                <w:szCs w:val="16"/>
              </w:rPr>
              <w:t>6</w:t>
            </w:r>
          </w:p>
        </w:tc>
        <w:tc>
          <w:tcPr>
            <w:tcW w:w="1450" w:type="dxa"/>
            <w:vAlign w:val="center"/>
          </w:tcPr>
          <w:p w14:paraId="1B108342"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388386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Maru</w:t>
            </w:r>
          </w:p>
        </w:tc>
        <w:tc>
          <w:tcPr>
            <w:tcW w:w="1650" w:type="dxa"/>
            <w:vAlign w:val="center"/>
          </w:tcPr>
          <w:p w14:paraId="7BE9389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3D2DAD6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12,052</w:t>
            </w:r>
          </w:p>
        </w:tc>
        <w:tc>
          <w:tcPr>
            <w:tcW w:w="1226" w:type="dxa"/>
            <w:vAlign w:val="center"/>
          </w:tcPr>
          <w:p w14:paraId="1C626EF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57.5</w:t>
            </w:r>
          </w:p>
        </w:tc>
      </w:tr>
      <w:tr w:rsidR="00374D49" w14:paraId="6F3330E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0511BCBD" w14:textId="77777777" w:rsidR="00374D49" w:rsidRDefault="00374D49">
            <w:pPr>
              <w:keepNext/>
              <w:rPr>
                <w:rFonts w:cs="Times New Roman"/>
                <w:sz w:val="16"/>
                <w:szCs w:val="16"/>
              </w:rPr>
            </w:pPr>
            <w:r>
              <w:rPr>
                <w:rFonts w:cs="Times New Roman"/>
                <w:sz w:val="16"/>
                <w:szCs w:val="16"/>
              </w:rPr>
              <w:t>7</w:t>
            </w:r>
          </w:p>
        </w:tc>
        <w:tc>
          <w:tcPr>
            <w:tcW w:w="1450" w:type="dxa"/>
            <w:vAlign w:val="center"/>
          </w:tcPr>
          <w:p w14:paraId="1482468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64D84E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Zurmi</w:t>
            </w:r>
          </w:p>
        </w:tc>
        <w:tc>
          <w:tcPr>
            <w:tcW w:w="1650" w:type="dxa"/>
            <w:vAlign w:val="center"/>
          </w:tcPr>
          <w:p w14:paraId="5945C44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64889EDA"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11,913</w:t>
            </w:r>
          </w:p>
        </w:tc>
        <w:tc>
          <w:tcPr>
            <w:tcW w:w="1226" w:type="dxa"/>
            <w:vAlign w:val="center"/>
          </w:tcPr>
          <w:p w14:paraId="68430C1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56.6</w:t>
            </w:r>
          </w:p>
        </w:tc>
      </w:tr>
      <w:tr w:rsidR="00374D49" w14:paraId="52FE3025"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19E825BA" w14:textId="77777777" w:rsidR="00374D49" w:rsidRDefault="00374D49">
            <w:pPr>
              <w:keepNext/>
              <w:rPr>
                <w:rFonts w:cs="Times New Roman"/>
                <w:sz w:val="16"/>
                <w:szCs w:val="16"/>
              </w:rPr>
            </w:pPr>
            <w:r>
              <w:rPr>
                <w:rFonts w:cs="Times New Roman"/>
                <w:sz w:val="16"/>
                <w:szCs w:val="16"/>
              </w:rPr>
              <w:t>8</w:t>
            </w:r>
          </w:p>
        </w:tc>
        <w:tc>
          <w:tcPr>
            <w:tcW w:w="1450" w:type="dxa"/>
            <w:vAlign w:val="center"/>
          </w:tcPr>
          <w:p w14:paraId="79FC045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w:t>
            </w:r>
          </w:p>
        </w:tc>
        <w:tc>
          <w:tcPr>
            <w:tcW w:w="2000" w:type="dxa"/>
            <w:vAlign w:val="center"/>
          </w:tcPr>
          <w:p w14:paraId="543F918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Sokoto North</w:t>
            </w:r>
          </w:p>
        </w:tc>
        <w:tc>
          <w:tcPr>
            <w:tcW w:w="1650" w:type="dxa"/>
            <w:vAlign w:val="center"/>
          </w:tcPr>
          <w:p w14:paraId="25BE3E03"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0E5DB064"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11,869</w:t>
            </w:r>
          </w:p>
        </w:tc>
        <w:tc>
          <w:tcPr>
            <w:tcW w:w="1226" w:type="dxa"/>
            <w:vAlign w:val="center"/>
          </w:tcPr>
          <w:p w14:paraId="3B44A1C1"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75.2</w:t>
            </w:r>
          </w:p>
        </w:tc>
      </w:tr>
      <w:tr w:rsidR="00374D49" w14:paraId="7EE4EE3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7C89DCC5" w14:textId="77777777" w:rsidR="00374D49" w:rsidRDefault="00374D49">
            <w:pPr>
              <w:keepNext/>
              <w:rPr>
                <w:rFonts w:cs="Times New Roman"/>
                <w:sz w:val="16"/>
                <w:szCs w:val="16"/>
              </w:rPr>
            </w:pPr>
            <w:r>
              <w:rPr>
                <w:rFonts w:cs="Times New Roman"/>
                <w:sz w:val="16"/>
                <w:szCs w:val="16"/>
              </w:rPr>
              <w:t>9</w:t>
            </w:r>
          </w:p>
        </w:tc>
        <w:tc>
          <w:tcPr>
            <w:tcW w:w="1450" w:type="dxa"/>
            <w:vAlign w:val="center"/>
          </w:tcPr>
          <w:p w14:paraId="4FE76FE5"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7CBC879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Talata Mafara</w:t>
            </w:r>
          </w:p>
        </w:tc>
        <w:tc>
          <w:tcPr>
            <w:tcW w:w="1650" w:type="dxa"/>
            <w:vAlign w:val="center"/>
          </w:tcPr>
          <w:p w14:paraId="67ABBA06"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20C5B4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11,666</w:t>
            </w:r>
          </w:p>
        </w:tc>
        <w:tc>
          <w:tcPr>
            <w:tcW w:w="1226" w:type="dxa"/>
            <w:vAlign w:val="center"/>
          </w:tcPr>
          <w:p w14:paraId="6F17CB73"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75.6</w:t>
            </w:r>
          </w:p>
        </w:tc>
      </w:tr>
      <w:tr w:rsidR="00374D49" w14:paraId="07BE6722" w14:textId="77777777">
        <w:trPr>
          <w:cantSplit/>
        </w:trPr>
        <w:tc>
          <w:tcPr>
            <w:cnfStyle w:val="001000000000" w:firstRow="0" w:lastRow="0" w:firstColumn="1" w:lastColumn="0" w:oddVBand="0" w:evenVBand="0" w:oddHBand="0" w:evenHBand="0" w:firstRowFirstColumn="0" w:firstRowLastColumn="0" w:lastRowFirstColumn="0" w:lastRowLastColumn="0"/>
            <w:tcW w:w="800" w:type="dxa"/>
            <w:vAlign w:val="center"/>
          </w:tcPr>
          <w:p w14:paraId="2F9496EB" w14:textId="77777777" w:rsidR="00374D49" w:rsidRDefault="00374D49">
            <w:pPr>
              <w:keepNext/>
              <w:rPr>
                <w:rFonts w:cs="Times New Roman"/>
                <w:sz w:val="16"/>
                <w:szCs w:val="16"/>
              </w:rPr>
            </w:pPr>
            <w:r>
              <w:rPr>
                <w:rFonts w:cs="Times New Roman"/>
                <w:sz w:val="16"/>
                <w:szCs w:val="16"/>
              </w:rPr>
              <w:t>10</w:t>
            </w:r>
          </w:p>
        </w:tc>
        <w:tc>
          <w:tcPr>
            <w:tcW w:w="1450" w:type="dxa"/>
            <w:vAlign w:val="center"/>
          </w:tcPr>
          <w:p w14:paraId="726E79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Zamfara</w:t>
            </w:r>
          </w:p>
        </w:tc>
        <w:tc>
          <w:tcPr>
            <w:tcW w:w="2000" w:type="dxa"/>
            <w:vAlign w:val="center"/>
          </w:tcPr>
          <w:p w14:paraId="133741CC"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Kaura Namoda</w:t>
            </w:r>
          </w:p>
        </w:tc>
        <w:tc>
          <w:tcPr>
            <w:tcW w:w="1650" w:type="dxa"/>
            <w:vAlign w:val="center"/>
          </w:tcPr>
          <w:p w14:paraId="49E3E7FB"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North West</w:t>
            </w:r>
          </w:p>
        </w:tc>
        <w:tc>
          <w:tcPr>
            <w:tcW w:w="1900" w:type="dxa"/>
            <w:vAlign w:val="center"/>
          </w:tcPr>
          <w:p w14:paraId="47475CD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11,282</w:t>
            </w:r>
          </w:p>
        </w:tc>
        <w:tc>
          <w:tcPr>
            <w:tcW w:w="1226" w:type="dxa"/>
            <w:vAlign w:val="center"/>
          </w:tcPr>
          <w:p w14:paraId="17C1FAC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55.3</w:t>
            </w:r>
          </w:p>
        </w:tc>
      </w:tr>
    </w:tbl>
    <w:p w14:paraId="00001C57" w14:textId="77777777" w:rsidR="00374D49" w:rsidRDefault="00374D49">
      <w:pPr>
        <w:spacing w:after="200" w:line="276" w:lineRule="auto"/>
        <w:rPr>
          <w:rFonts w:cs="Times New Roman"/>
        </w:rPr>
      </w:pPr>
    </w:p>
    <w:p w14:paraId="2E8737BA"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1: Bayesian hierarchical model with DHIS2-calibrated LGA allocation, 2026; GRID3 boundaries. Hotspot classification: Getis-Ord Gi*, k = 5 nearest neighbours (Figures 11–12).</w:t>
      </w:r>
    </w:p>
    <w:p w14:paraId="00001C59" w14:textId="77777777" w:rsidR="00374D49" w:rsidRDefault="00374D49">
      <w:pPr>
        <w:spacing w:after="200" w:line="276" w:lineRule="auto"/>
        <w:jc w:val="both"/>
        <w:rPr>
          <w:rFonts w:cs="Times New Roman"/>
        </w:rPr>
      </w:pPr>
      <w:r>
        <w:rPr>
          <w:rFonts w:cs="Times New Roman"/>
        </w:rPr>
        <w:t xml:space="preserve">Two features of this ranking have direct programme implications. First, the top of the list is concentrated in Zamfara and Sokoto, which hold 10 of the ten highest-burden LGAs, while the large birth cohorts of Kano, Katsina and Kaduna place many of their LGAs further down the list; rate-based and burden-based prioritisation therefore produce different lists, and </w:t>
      </w:r>
      <w:r>
        <w:rPr>
          <w:rFonts w:cs="Times New Roman"/>
        </w:rPr>
        <w:lastRenderedPageBreak/>
        <w:t>microplanning needs both. Second, 10 LGAs sit at the 99% upper bound of the Method 1 allocation, which should trigger verification of the local denominator and of reported doses before campaign resources are committed.</w:t>
      </w:r>
    </w:p>
    <w:p w14:paraId="00001C5A" w14:textId="77777777" w:rsidR="00374D49" w:rsidRDefault="00374D49">
      <w:pPr>
        <w:spacing w:after="200" w:line="276" w:lineRule="auto"/>
        <w:jc w:val="both"/>
        <w:rPr>
          <w:rFonts w:cs="Times New Roman"/>
        </w:rPr>
      </w:pPr>
      <w:r>
        <w:rPr>
          <w:rFonts w:cs="Times New Roman"/>
        </w:rPr>
        <w:t>This ranking is the operational bridge between the modelling and the annual RI workplan. It should be paired with the archetype assignment in Table 6 so that each priority LGA carries both a position in the queue and a matched response package.</w:t>
      </w:r>
    </w:p>
    <w:p w14:paraId="00001C5B" w14:textId="77777777" w:rsidR="00374D49" w:rsidRDefault="00374D49">
      <w:pPr>
        <w:pStyle w:val="Heading2"/>
      </w:pPr>
      <w:bookmarkStart w:id="70" w:name="_Toc242407926"/>
      <w:r>
        <w:t>5.5.3 Maternal Care and Immunization Gaps Occupy the Same Geography</w:t>
      </w:r>
      <w:bookmarkEnd w:id="70"/>
    </w:p>
    <w:p w14:paraId="00001C5C" w14:textId="77777777" w:rsidR="00374D49" w:rsidRDefault="00374D49">
      <w:pPr>
        <w:spacing w:after="200" w:line="276" w:lineRule="auto"/>
        <w:jc w:val="both"/>
        <w:rPr>
          <w:rFonts w:cs="Times New Roman"/>
        </w:rPr>
      </w:pPr>
      <w:r>
        <w:rPr>
          <w:rFonts w:cs="Times New Roman"/>
        </w:rPr>
        <w:t>The LGAs with the weakest antenatal and delivery care are the same LGAs missing the most zero-dose children. Across the 766 LGAs with maternal-care data and a Method 1 estimate, antenatal care with four or more visits correlates with the modelled zero-dose rate at r = -0.63, and facility delivery at r = -0.59. Both associations are strong and consistent, and they indicate an operational entry point that immunization delivery does not currently use.</w:t>
      </w:r>
    </w:p>
    <w:p w14:paraId="00001C5D" w14:textId="77777777" w:rsidR="00374D49" w:rsidRDefault="00374D49">
      <w:pPr>
        <w:spacing w:after="200" w:line="276" w:lineRule="auto"/>
        <w:jc w:val="both"/>
        <w:rPr>
          <w:rFonts w:cs="Times New Roman"/>
        </w:rPr>
      </w:pPr>
      <w:r>
        <w:rPr>
          <w:rFonts w:cs="Times New Roman"/>
        </w:rPr>
        <w:t>The two archetypes with the weakest maternal care, Remote Rural / Hard-to-Reach and Conflict-Affected / Nomadic, hold approximately 1.52 million of the 2.10 million modelled zero-dose children, on antenatal coverage of 36 to 40% and facility delivery of 10 to 19%. Where a maternal contact does occur in these places, it is an existing, funded, already-scheduled point of contact with precisely the households the immunization programme is failing to reach.</w:t>
      </w:r>
    </w:p>
    <w:p w14:paraId="00001C5F"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63A901A5" wp14:editId="65B11053">
            <wp:extent cx="5733288" cy="2446720"/>
            <wp:effectExtent l="0" t="0" r="0" b="0"/>
            <wp:docPr id="7262" name="Picture 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 name="Picture 7262"/>
                    <pic:cNvPicPr/>
                  </pic:nvPicPr>
                  <pic:blipFill>
                    <a:blip r:embed="rId30"/>
                    <a:stretch>
                      <a:fillRect/>
                    </a:stretch>
                  </pic:blipFill>
                  <pic:spPr>
                    <a:xfrm>
                      <a:off x="0" y="0"/>
                      <a:ext cx="5733288" cy="2446720"/>
                    </a:xfrm>
                    <a:prstGeom prst="rect">
                      <a:avLst/>
                    </a:prstGeom>
                  </pic:spPr>
                </pic:pic>
              </a:graphicData>
            </a:graphic>
          </wp:inline>
        </w:drawing>
      </w:r>
    </w:p>
    <w:p w14:paraId="00001C60" w14:textId="77777777" w:rsidR="00374D49" w:rsidRDefault="00374D49">
      <w:pPr>
        <w:pStyle w:val="MyFigures"/>
        <w:spacing w:line="276" w:lineRule="auto"/>
      </w:pPr>
      <w:bookmarkStart w:id="71" w:name="_Toc242408002"/>
      <w:r>
        <w:t>Figure 16. Antenatal care (four or more visits) against the Method 1 zero-dose rate (766 LGAs), and maternal-care indicators and zero-dose under both methods, by archetype.</w:t>
      </w:r>
      <w:bookmarkEnd w:id="71"/>
    </w:p>
    <w:p w14:paraId="00001C61" w14:textId="77777777" w:rsidR="00374D49" w:rsidRDefault="00374D49">
      <w:pPr>
        <w:spacing w:after="200" w:line="276" w:lineRule="auto"/>
        <w:jc w:val="both"/>
        <w:rPr>
          <w:rFonts w:cs="Times New Roman"/>
        </w:rPr>
      </w:pPr>
      <w:r>
        <w:rPr>
          <w:rFonts w:cs="Times New Roman"/>
        </w:rPr>
        <w:t>The implication is that in the highest-burden archetypes, immunization should be co-delivered with antenatal and delivery contacts, so that one visit provides several services, rather than mounted as standalone immunization outreach. This lowers the cost per child reached and uses a contact the household has already accepted.</w:t>
      </w:r>
    </w:p>
    <w:p w14:paraId="00001C62" w14:textId="77777777" w:rsidR="00374D49" w:rsidRDefault="00374D49">
      <w:pPr>
        <w:pStyle w:val="MyTables"/>
        <w:keepNext/>
      </w:pPr>
      <w:bookmarkStart w:id="72" w:name="_Toc242407970"/>
      <w:r>
        <w:lastRenderedPageBreak/>
        <w:t>Table 6c. The RMNCH–EPI operational list: maternal-care indicators and the matched package, by archetype.</w:t>
      </w:r>
      <w:bookmarkEnd w:id="72"/>
    </w:p>
    <w:tbl>
      <w:tblPr>
        <w:tblStyle w:val="PlainTable5"/>
        <w:tblW w:w="9026" w:type="dxa"/>
        <w:tblLook w:val="04A0" w:firstRow="1" w:lastRow="0" w:firstColumn="1" w:lastColumn="0" w:noHBand="0" w:noVBand="1"/>
      </w:tblPr>
      <w:tblGrid>
        <w:gridCol w:w="1560"/>
        <w:gridCol w:w="620"/>
        <w:gridCol w:w="780"/>
        <w:gridCol w:w="900"/>
        <w:gridCol w:w="860"/>
        <w:gridCol w:w="1080"/>
        <w:gridCol w:w="3226"/>
      </w:tblGrid>
      <w:tr w:rsidR="00374D49" w14:paraId="00001C6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560" w:type="dxa"/>
            <w:vAlign w:val="center"/>
          </w:tcPr>
          <w:p w14:paraId="00001C64" w14:textId="77777777" w:rsidR="00374D49" w:rsidRDefault="00374D49">
            <w:pPr>
              <w:keepNext/>
              <w:rPr>
                <w:rFonts w:cs="Times New Roman"/>
                <w:b/>
                <w:sz w:val="16"/>
                <w:szCs w:val="16"/>
              </w:rPr>
            </w:pPr>
            <w:r>
              <w:rPr>
                <w:rFonts w:cs="Times New Roman"/>
                <w:b/>
                <w:sz w:val="16"/>
                <w:szCs w:val="16"/>
              </w:rPr>
              <w:t>Archetype</w:t>
            </w:r>
          </w:p>
        </w:tc>
        <w:tc>
          <w:tcPr>
            <w:tcW w:w="620" w:type="dxa"/>
            <w:vAlign w:val="center"/>
          </w:tcPr>
          <w:p w14:paraId="00001C65"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LGAs</w:t>
            </w:r>
          </w:p>
        </w:tc>
        <w:tc>
          <w:tcPr>
            <w:tcW w:w="780" w:type="dxa"/>
            <w:vAlign w:val="center"/>
          </w:tcPr>
          <w:p w14:paraId="00001C66"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ANC4+ (%)</w:t>
            </w:r>
          </w:p>
        </w:tc>
        <w:tc>
          <w:tcPr>
            <w:tcW w:w="900" w:type="dxa"/>
            <w:vAlign w:val="center"/>
          </w:tcPr>
          <w:p w14:paraId="00001C67"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Facility delivery (%)</w:t>
            </w:r>
          </w:p>
        </w:tc>
        <w:tc>
          <w:tcPr>
            <w:tcW w:w="860" w:type="dxa"/>
            <w:vAlign w:val="center"/>
          </w:tcPr>
          <w:p w14:paraId="00001C68"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rate (%)</w:t>
            </w:r>
          </w:p>
        </w:tc>
        <w:tc>
          <w:tcPr>
            <w:tcW w:w="1080" w:type="dxa"/>
            <w:vAlign w:val="center"/>
          </w:tcPr>
          <w:p w14:paraId="00001C69"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Zero-dose children</w:t>
            </w:r>
          </w:p>
        </w:tc>
        <w:tc>
          <w:tcPr>
            <w:tcW w:w="3226" w:type="dxa"/>
            <w:vAlign w:val="center"/>
          </w:tcPr>
          <w:p w14:paraId="00001C6A" w14:textId="77777777" w:rsidR="00374D49" w:rsidRDefault="00374D49">
            <w:pPr>
              <w:keepNext/>
              <w:cnfStyle w:val="100000000000" w:firstRow="1" w:lastRow="0" w:firstColumn="0" w:lastColumn="0" w:oddVBand="0" w:evenVBand="0" w:oddHBand="0" w:evenHBand="0" w:firstRowFirstColumn="0" w:firstRowLastColumn="0" w:lastRowFirstColumn="0" w:lastRowLastColumn="0"/>
              <w:rPr>
                <w:rFonts w:cs="Times New Roman"/>
                <w:b/>
                <w:sz w:val="16"/>
                <w:szCs w:val="16"/>
              </w:rPr>
            </w:pPr>
            <w:r>
              <w:rPr>
                <w:rFonts w:cs="Times New Roman"/>
                <w:b/>
                <w:sz w:val="16"/>
                <w:szCs w:val="16"/>
              </w:rPr>
              <w:t>RMNCH–EPI intervention</w:t>
            </w:r>
          </w:p>
        </w:tc>
      </w:tr>
      <w:tr w:rsidR="00374D49" w14:paraId="00001C6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6C" w14:textId="77777777" w:rsidR="00374D49" w:rsidRDefault="00374D49">
            <w:pPr>
              <w:keepNext/>
              <w:rPr>
                <w:rFonts w:cs="Times New Roman"/>
                <w:sz w:val="16"/>
                <w:szCs w:val="16"/>
              </w:rPr>
            </w:pPr>
            <w:r>
              <w:rPr>
                <w:rFonts w:cs="Times New Roman"/>
                <w:sz w:val="16"/>
                <w:szCs w:val="16"/>
              </w:rPr>
              <w:t>Remote Rural / Hard-to-Reach</w:t>
            </w:r>
          </w:p>
        </w:tc>
        <w:tc>
          <w:tcPr>
            <w:tcW w:w="620" w:type="dxa"/>
            <w:vAlign w:val="center"/>
          </w:tcPr>
          <w:p w14:paraId="00001C6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136</w:t>
            </w:r>
          </w:p>
        </w:tc>
        <w:tc>
          <w:tcPr>
            <w:tcW w:w="780" w:type="dxa"/>
            <w:vAlign w:val="center"/>
          </w:tcPr>
          <w:p w14:paraId="00001C6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35.7</w:t>
            </w:r>
          </w:p>
        </w:tc>
        <w:tc>
          <w:tcPr>
            <w:tcW w:w="900" w:type="dxa"/>
            <w:vAlign w:val="center"/>
          </w:tcPr>
          <w:p w14:paraId="00001C6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9.8</w:t>
            </w:r>
          </w:p>
        </w:tc>
        <w:tc>
          <w:tcPr>
            <w:tcW w:w="860" w:type="dxa"/>
            <w:vAlign w:val="center"/>
          </w:tcPr>
          <w:p w14:paraId="00001C7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44.2</w:t>
            </w:r>
          </w:p>
        </w:tc>
        <w:tc>
          <w:tcPr>
            <w:tcW w:w="1080" w:type="dxa"/>
            <w:vAlign w:val="center"/>
          </w:tcPr>
          <w:p w14:paraId="00001C7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695,337</w:t>
            </w:r>
          </w:p>
        </w:tc>
        <w:tc>
          <w:tcPr>
            <w:tcW w:w="3226" w:type="dxa"/>
            <w:vAlign w:val="center"/>
          </w:tcPr>
          <w:p w14:paraId="00001C7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Reaching-Every-Community microplanning, BHCPF outreach and community health workers; co-deliver immunization with antenatal and nutrition contacts</w:t>
            </w:r>
          </w:p>
        </w:tc>
      </w:tr>
      <w:tr w:rsidR="00374D49" w14:paraId="00001C7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4" w14:textId="77777777" w:rsidR="00374D49" w:rsidRDefault="00374D49">
            <w:pPr>
              <w:keepNext/>
              <w:rPr>
                <w:rFonts w:cs="Times New Roman"/>
                <w:sz w:val="16"/>
                <w:szCs w:val="16"/>
              </w:rPr>
            </w:pPr>
            <w:r>
              <w:rPr>
                <w:rFonts w:cs="Times New Roman"/>
                <w:sz w:val="16"/>
                <w:szCs w:val="16"/>
              </w:rPr>
              <w:t>Conflict-Affected / Nomadic</w:t>
            </w:r>
          </w:p>
        </w:tc>
        <w:tc>
          <w:tcPr>
            <w:tcW w:w="620" w:type="dxa"/>
            <w:vAlign w:val="center"/>
          </w:tcPr>
          <w:p w14:paraId="00001C7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780" w:type="dxa"/>
            <w:vAlign w:val="center"/>
          </w:tcPr>
          <w:p w14:paraId="00001C7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39.8</w:t>
            </w:r>
          </w:p>
        </w:tc>
        <w:tc>
          <w:tcPr>
            <w:tcW w:w="900" w:type="dxa"/>
            <w:vAlign w:val="center"/>
          </w:tcPr>
          <w:p w14:paraId="00001C7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19.2</w:t>
            </w:r>
          </w:p>
        </w:tc>
        <w:tc>
          <w:tcPr>
            <w:tcW w:w="860" w:type="dxa"/>
            <w:vAlign w:val="center"/>
          </w:tcPr>
          <w:p w14:paraId="00001C7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39.0</w:t>
            </w:r>
          </w:p>
        </w:tc>
        <w:tc>
          <w:tcPr>
            <w:tcW w:w="1080" w:type="dxa"/>
            <w:vAlign w:val="center"/>
          </w:tcPr>
          <w:p w14:paraId="00001C7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820,871</w:t>
            </w:r>
          </w:p>
        </w:tc>
        <w:tc>
          <w:tcPr>
            <w:tcW w:w="3226" w:type="dxa"/>
            <w:vAlign w:val="center"/>
          </w:tcPr>
          <w:p w14:paraId="00001C7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Security-integrated microplanning, negotiated access, and mobile and transit-point teams delivering immunization and antenatal care together</w:t>
            </w:r>
          </w:p>
        </w:tc>
      </w:tr>
      <w:tr w:rsidR="00374D49" w14:paraId="00001C7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7C" w14:textId="77777777" w:rsidR="00374D49" w:rsidRDefault="00374D49">
            <w:pPr>
              <w:keepNext/>
              <w:rPr>
                <w:rFonts w:cs="Times New Roman"/>
                <w:sz w:val="16"/>
                <w:szCs w:val="16"/>
              </w:rPr>
            </w:pPr>
            <w:r>
              <w:rPr>
                <w:rFonts w:cs="Times New Roman"/>
                <w:sz w:val="16"/>
                <w:szCs w:val="16"/>
              </w:rPr>
              <w:t>Riverine / Geographically Isolated</w:t>
            </w:r>
          </w:p>
        </w:tc>
        <w:tc>
          <w:tcPr>
            <w:tcW w:w="620" w:type="dxa"/>
            <w:vAlign w:val="center"/>
          </w:tcPr>
          <w:p w14:paraId="00001C7D"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20</w:t>
            </w:r>
          </w:p>
        </w:tc>
        <w:tc>
          <w:tcPr>
            <w:tcW w:w="780" w:type="dxa"/>
            <w:vAlign w:val="center"/>
          </w:tcPr>
          <w:p w14:paraId="00001C7E"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42.6</w:t>
            </w:r>
          </w:p>
        </w:tc>
        <w:tc>
          <w:tcPr>
            <w:tcW w:w="900" w:type="dxa"/>
            <w:vAlign w:val="center"/>
          </w:tcPr>
          <w:p w14:paraId="00001C7F"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26.8</w:t>
            </w:r>
          </w:p>
        </w:tc>
        <w:tc>
          <w:tcPr>
            <w:tcW w:w="860" w:type="dxa"/>
            <w:vAlign w:val="center"/>
          </w:tcPr>
          <w:p w14:paraId="00001C80"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17.7</w:t>
            </w:r>
          </w:p>
        </w:tc>
        <w:tc>
          <w:tcPr>
            <w:tcW w:w="1080" w:type="dxa"/>
            <w:vAlign w:val="center"/>
          </w:tcPr>
          <w:p w14:paraId="00001C81"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23,514</w:t>
            </w:r>
          </w:p>
        </w:tc>
        <w:tc>
          <w:tcPr>
            <w:tcW w:w="3226" w:type="dxa"/>
            <w:vAlign w:val="center"/>
          </w:tcPr>
          <w:p w14:paraId="00001C82" w14:textId="77777777" w:rsidR="00374D49" w:rsidRDefault="00374D49">
            <w:pPr>
              <w:keepNext/>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Boat-based outreach, community health worker networks, and multi-antigen and antenatal bundling per visit</w:t>
            </w:r>
          </w:p>
        </w:tc>
      </w:tr>
      <w:tr w:rsidR="00374D49" w14:paraId="00001C83" w14:textId="77777777">
        <w:trPr>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4" w14:textId="77777777" w:rsidR="00374D49" w:rsidRDefault="00374D49">
            <w:pPr>
              <w:keepNext/>
              <w:rPr>
                <w:rFonts w:cs="Times New Roman"/>
                <w:sz w:val="16"/>
                <w:szCs w:val="16"/>
              </w:rPr>
            </w:pPr>
            <w:r>
              <w:rPr>
                <w:rFonts w:cs="Times New Roman"/>
                <w:sz w:val="16"/>
                <w:szCs w:val="16"/>
              </w:rPr>
              <w:t>Peri-urban / Migrant Dense</w:t>
            </w:r>
          </w:p>
        </w:tc>
        <w:tc>
          <w:tcPr>
            <w:tcW w:w="620" w:type="dxa"/>
            <w:vAlign w:val="center"/>
          </w:tcPr>
          <w:p w14:paraId="00001C85"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280</w:t>
            </w:r>
          </w:p>
        </w:tc>
        <w:tc>
          <w:tcPr>
            <w:tcW w:w="780" w:type="dxa"/>
            <w:vAlign w:val="center"/>
          </w:tcPr>
          <w:p w14:paraId="00001C86"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71.8</w:t>
            </w:r>
          </w:p>
        </w:tc>
        <w:tc>
          <w:tcPr>
            <w:tcW w:w="900" w:type="dxa"/>
            <w:vAlign w:val="center"/>
          </w:tcPr>
          <w:p w14:paraId="00001C87"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60.7</w:t>
            </w:r>
          </w:p>
        </w:tc>
        <w:tc>
          <w:tcPr>
            <w:tcW w:w="860" w:type="dxa"/>
            <w:vAlign w:val="center"/>
          </w:tcPr>
          <w:p w14:paraId="00001C88"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20.6</w:t>
            </w:r>
          </w:p>
        </w:tc>
        <w:tc>
          <w:tcPr>
            <w:tcW w:w="1080" w:type="dxa"/>
            <w:vAlign w:val="center"/>
          </w:tcPr>
          <w:p w14:paraId="00001C89"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427,791</w:t>
            </w:r>
          </w:p>
        </w:tc>
        <w:tc>
          <w:tcPr>
            <w:tcW w:w="3226" w:type="dxa"/>
            <w:vAlign w:val="center"/>
          </w:tcPr>
          <w:p w14:paraId="00001C8A" w14:textId="77777777" w:rsidR="00374D49" w:rsidRDefault="00374D49">
            <w:pPr>
              <w:keepNext/>
              <w:cnfStyle w:val="000000000000" w:firstRow="0" w:lastRow="0" w:firstColumn="0" w:lastColumn="0" w:oddVBand="0" w:evenVBand="0" w:oddHBand="0" w:evenHBand="0" w:firstRowFirstColumn="0" w:firstRowLastColumn="0" w:lastRowFirstColumn="0" w:lastRowLastColumn="0"/>
              <w:rPr>
                <w:rFonts w:cs="Times New Roman"/>
                <w:sz w:val="16"/>
                <w:szCs w:val="16"/>
              </w:rPr>
            </w:pPr>
            <w:r>
              <w:rPr>
                <w:rFonts w:cs="Times New Roman"/>
                <w:sz w:val="16"/>
                <w:szCs w:val="16"/>
              </w:rPr>
              <w:t>Ward enumeration, migrant-sensitive scheduling, and Periodic Intensification of Routine Immunization linked to antenatal clinics</w:t>
            </w:r>
          </w:p>
        </w:tc>
      </w:tr>
      <w:tr w:rsidR="00374D49" w14:paraId="00001C8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0001C8C" w14:textId="77777777" w:rsidR="00374D49" w:rsidRDefault="00374D49">
            <w:pPr>
              <w:rPr>
                <w:rFonts w:cs="Times New Roman"/>
                <w:sz w:val="16"/>
                <w:szCs w:val="16"/>
              </w:rPr>
            </w:pPr>
            <w:r>
              <w:rPr>
                <w:rFonts w:cs="Times New Roman"/>
                <w:sz w:val="16"/>
                <w:szCs w:val="16"/>
              </w:rPr>
              <w:t>Urban Slums (better-off core)</w:t>
            </w:r>
          </w:p>
        </w:tc>
        <w:tc>
          <w:tcPr>
            <w:tcW w:w="620" w:type="dxa"/>
            <w:vAlign w:val="center"/>
          </w:tcPr>
          <w:p w14:paraId="00001C8D"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146</w:t>
            </w:r>
          </w:p>
        </w:tc>
        <w:tc>
          <w:tcPr>
            <w:tcW w:w="780" w:type="dxa"/>
            <w:vAlign w:val="center"/>
          </w:tcPr>
          <w:p w14:paraId="00001C8E"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80.9</w:t>
            </w:r>
          </w:p>
        </w:tc>
        <w:tc>
          <w:tcPr>
            <w:tcW w:w="900" w:type="dxa"/>
            <w:vAlign w:val="center"/>
          </w:tcPr>
          <w:p w14:paraId="00001C8F"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77.8</w:t>
            </w:r>
          </w:p>
        </w:tc>
        <w:tc>
          <w:tcPr>
            <w:tcW w:w="860" w:type="dxa"/>
            <w:vAlign w:val="center"/>
          </w:tcPr>
          <w:p w14:paraId="00001C90"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9.9</w:t>
            </w:r>
          </w:p>
        </w:tc>
        <w:tc>
          <w:tcPr>
            <w:tcW w:w="1080" w:type="dxa"/>
            <w:vAlign w:val="center"/>
          </w:tcPr>
          <w:p w14:paraId="00001C91"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131,691</w:t>
            </w:r>
          </w:p>
        </w:tc>
        <w:tc>
          <w:tcPr>
            <w:tcW w:w="3226" w:type="dxa"/>
            <w:vAlign w:val="center"/>
          </w:tcPr>
          <w:p w14:paraId="00001C92" w14:textId="77777777" w:rsidR="00374D49" w:rsidRDefault="00374D49">
            <w:pPr>
              <w:cnfStyle w:val="000000100000" w:firstRow="0" w:lastRow="0" w:firstColumn="0" w:lastColumn="0" w:oddVBand="0" w:evenVBand="0" w:oddHBand="1" w:evenHBand="0" w:firstRowFirstColumn="0" w:firstRowLastColumn="0" w:lastRowFirstColumn="0" w:lastRowLastColumn="0"/>
              <w:rPr>
                <w:rFonts w:cs="Times New Roman"/>
                <w:sz w:val="16"/>
                <w:szCs w:val="16"/>
              </w:rPr>
            </w:pPr>
            <w:r>
              <w:rPr>
                <w:rFonts w:cs="Times New Roman"/>
                <w:sz w:val="16"/>
                <w:szCs w:val="16"/>
              </w:rPr>
              <w:t>Targeted social mobilization, a fixed-plus-outreach hybrid, and private-sector last-mile reach for immunization and antenatal care</w:t>
            </w:r>
          </w:p>
        </w:tc>
      </w:tr>
    </w:tbl>
    <w:p w14:paraId="00001C93" w14:textId="77777777" w:rsidR="00374D49" w:rsidRDefault="00374D49">
      <w:pPr>
        <w:spacing w:after="200" w:line="276" w:lineRule="auto"/>
        <w:rPr>
          <w:rFonts w:cs="Times New Roman"/>
        </w:rPr>
      </w:pPr>
    </w:p>
    <w:p w14:paraId="00001C94" w14:textId="77777777" w:rsidR="00374D49" w:rsidRDefault="00374D49">
      <w:pPr>
        <w:spacing w:after="200" w:line="276" w:lineRule="auto"/>
        <w:jc w:val="both"/>
        <w:rPr>
          <w:rFonts w:cs="Times New Roman"/>
          <w:i/>
          <w:sz w:val="16"/>
          <w:szCs w:val="16"/>
        </w:rPr>
      </w:pPr>
      <w:r>
        <w:rPr>
          <w:rFonts w:cs="Times New Roman"/>
          <w:i/>
          <w:sz w:val="16"/>
          <w:szCs w:val="16"/>
        </w:rPr>
        <w:t>Model estimate. Source: LGA archetype master and the RMNCH–EPI operational workbook (IHME and DHS antenatal-care and facility-delivery covariates; Method 1 modelled zero-dose). All 774 LGAs are ranked worst-to-best in the workbook, each carrying its archetype, antenatal and facility-delivery figures and matched package, ready for microplanning. Facility-level primary health care lists and facility density are not included; those require a GRID3 or National Health Facility Registry dataset.</w:t>
      </w:r>
    </w:p>
    <w:p w14:paraId="1471B323" w14:textId="77777777" w:rsidR="00374D49" w:rsidRDefault="00374D49">
      <w:pPr>
        <w:pStyle w:val="Heading2"/>
      </w:pPr>
      <w:bookmarkStart w:id="73" w:name="_Toc242407927"/>
      <w:r>
        <w:t>5.5.4 Method 2: Bayesian Small-Area Estimation for All 774 LGAs</w:t>
      </w:r>
      <w:bookmarkEnd w:id="73"/>
    </w:p>
    <w:p w14:paraId="68F2140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1 estimates zero-dose at state level and distributes each state's estimate to its LGAs using routine DHIS2 Penta1 reporting. A second, independent method was built to estimate LGA zero-dose directly, without routine coverage data, so that LGA priorities could be checked against an approach that does not depend on reported doses or administrative denominators.</w:t>
      </w:r>
    </w:p>
    <w:p w14:paraId="29F6B02D"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is a Bayesian small-area estimation (SAE) model. Each LGA has its own zero-dose rate on the logit scale. The population-weighted average of a state's LGA rates is linked to that state's NDHS zero-dose estimate (2008, 2013, 2018 and 2023-24) through a measurement-error likelihood that allows for survey sampling error (design effect 2), so state totals stay consistent with the surveys. Differences between LGAs within a state are explained by six LGA covariates (a maternal-care index combining antenatal care with four or more visits and facility delivery, improved water, the Meta Relative Wealth Index, travel time to a health facility, conflict events and poverty), by a BYM2 spatial random effect on the GRID3 LGA adjacency graph (2,165 neighbour pairs), and by zone effects. The 2026 estimate carries forward each state's survey-anchored level with added process uncertainty. The model was fitted in PyMC with four chains of 8,000 draws after 3,000 tuning steps; every LGA receives a posterior mean, a 95% credible interval, and a probability of being among the 155 highest-burden LGAs.</w:t>
      </w:r>
    </w:p>
    <w:p w14:paraId="77D17633"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033F0DD" wp14:editId="53AC2D38">
            <wp:extent cx="5733288" cy="2723433"/>
            <wp:effectExtent l="0" t="0" r="0" b="0"/>
            <wp:docPr id="1964530408" name="Picture 1964530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1_model_schematic.png"/>
                    <pic:cNvPicPr/>
                  </pic:nvPicPr>
                  <pic:blipFill>
                    <a:blip r:embed="rId31"/>
                    <a:stretch>
                      <a:fillRect/>
                    </a:stretch>
                  </pic:blipFill>
                  <pic:spPr>
                    <a:xfrm>
                      <a:off x="0" y="0"/>
                      <a:ext cx="5733288" cy="2723433"/>
                    </a:xfrm>
                    <a:prstGeom prst="rect">
                      <a:avLst/>
                    </a:prstGeom>
                  </pic:spPr>
                </pic:pic>
              </a:graphicData>
            </a:graphic>
          </wp:inline>
        </w:drawing>
      </w:r>
    </w:p>
    <w:p w14:paraId="39B08A26" w14:textId="77777777" w:rsidR="00B941FD" w:rsidRPr="00374D49" w:rsidRDefault="00B941FD" w:rsidP="00FD4A5B">
      <w:pPr>
        <w:pStyle w:val="MyFigures"/>
        <w:spacing w:line="276" w:lineRule="auto"/>
      </w:pPr>
      <w:bookmarkStart w:id="74" w:name="_Toc242408003"/>
      <w:r>
        <w:t>Figure 16b. Structure of the Bayesian small-area model (Method 2).</w:t>
      </w:r>
      <w:bookmarkEnd w:id="74"/>
    </w:p>
    <w:p w14:paraId="44B0A4F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estimates 2.15 million zero-dose children in 2026 (95% credible interval 1.86 to 2.46 million), a national rate of 30.6%. The North-West holds 53% of the total at a zone rate of 50.6%. The 155 highest-burden LGAs hold 54% of zero-dose children, and 40 LGAs are among the top 155 in at least 90% of posterior simulations. Credible intervals are widest where survey anchors and covariates leave most room for error, which identifies the LGAs where local verification is most valuable before large investments.</w:t>
      </w:r>
    </w:p>
    <w:p w14:paraId="47B4F39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0F4F9C82" wp14:editId="7C33CE90">
            <wp:extent cx="5733288" cy="2451767"/>
            <wp:effectExtent l="0" t="0" r="0" b="0"/>
            <wp:docPr id="1964530409" name="Picture 1964530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2_rate_and_uncertainty_maps.png"/>
                    <pic:cNvPicPr/>
                  </pic:nvPicPr>
                  <pic:blipFill>
                    <a:blip r:embed="rId32"/>
                    <a:stretch>
                      <a:fillRect/>
                    </a:stretch>
                  </pic:blipFill>
                  <pic:spPr>
                    <a:xfrm>
                      <a:off x="0" y="0"/>
                      <a:ext cx="5733288" cy="2451767"/>
                    </a:xfrm>
                    <a:prstGeom prst="rect">
                      <a:avLst/>
                    </a:prstGeom>
                  </pic:spPr>
                </pic:pic>
              </a:graphicData>
            </a:graphic>
          </wp:inline>
        </w:drawing>
      </w:r>
    </w:p>
    <w:p w14:paraId="03F2B91D" w14:textId="77777777" w:rsidR="00B941FD" w:rsidRPr="00374D49" w:rsidRDefault="00B941FD" w:rsidP="00FD4A5B">
      <w:pPr>
        <w:pStyle w:val="MyFigures"/>
        <w:spacing w:line="276" w:lineRule="auto"/>
      </w:pPr>
      <w:bookmarkStart w:id="75" w:name="_Toc242408004"/>
      <w:r>
        <w:t>Figure 16c. Method 2 LGA zero-dose rate for 2026 and the width of its 95% credible interval, 774 LGAs.</w:t>
      </w:r>
      <w:bookmarkEnd w:id="75"/>
    </w:p>
    <w:p w14:paraId="11B4304E"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A885203" wp14:editId="0ABF25EB">
            <wp:extent cx="5733288" cy="2250948"/>
            <wp:effectExtent l="0" t="0" r="0" b="0"/>
            <wp:docPr id="1964530410" name="Picture 196453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3_burden_and_priority_maps.png"/>
                    <pic:cNvPicPr/>
                  </pic:nvPicPr>
                  <pic:blipFill>
                    <a:blip r:embed="rId33"/>
                    <a:stretch>
                      <a:fillRect/>
                    </a:stretch>
                  </pic:blipFill>
                  <pic:spPr>
                    <a:xfrm>
                      <a:off x="0" y="0"/>
                      <a:ext cx="5733288" cy="2250948"/>
                    </a:xfrm>
                    <a:prstGeom prst="rect">
                      <a:avLst/>
                    </a:prstGeom>
                  </pic:spPr>
                </pic:pic>
              </a:graphicData>
            </a:graphic>
          </wp:inline>
        </w:drawing>
      </w:r>
    </w:p>
    <w:p w14:paraId="48ADDE9A" w14:textId="77777777" w:rsidR="00B941FD" w:rsidRPr="00374D49" w:rsidRDefault="00B941FD" w:rsidP="00FD4A5B">
      <w:pPr>
        <w:pStyle w:val="MyFigures"/>
        <w:spacing w:line="276" w:lineRule="auto"/>
      </w:pPr>
      <w:bookmarkStart w:id="76" w:name="_Toc242408005"/>
      <w:r>
        <w:t>Figure 16d. Method 2 modelled zero-dose children per LGA and the probability that each LGA is among the 155 highest-burden LGAs.</w:t>
      </w:r>
      <w:bookmarkEnd w:id="76"/>
    </w:p>
    <w:p w14:paraId="5141919C" w14:textId="77777777" w:rsidR="003D146D" w:rsidRPr="00374D49" w:rsidRDefault="003D146D" w:rsidP="00FD4A5B">
      <w:pPr>
        <w:pStyle w:val="MyTables"/>
        <w:keepNext/>
        <w:spacing w:line="276" w:lineRule="auto"/>
      </w:pPr>
      <w:bookmarkStart w:id="77" w:name="_Toc242407971"/>
      <w:r>
        <w:t>Table 6d. The ten highest-burden LGAs under Method 2, 2026.</w:t>
      </w:r>
      <w:bookmarkEnd w:id="77"/>
    </w:p>
    <w:tbl>
      <w:tblPr>
        <w:tblStyle w:val="PlainTable5"/>
        <w:tblW w:w="9028" w:type="dxa"/>
        <w:tblLook w:val="0420" w:firstRow="1" w:lastRow="0" w:firstColumn="0" w:lastColumn="0" w:noHBand="0" w:noVBand="1"/>
      </w:tblPr>
      <w:tblGrid>
        <w:gridCol w:w="720"/>
        <w:gridCol w:w="1224"/>
        <w:gridCol w:w="1800"/>
        <w:gridCol w:w="2376"/>
        <w:gridCol w:w="1800"/>
        <w:gridCol w:w="1108"/>
      </w:tblGrid>
      <w:tr w:rsidR="00374D49" w14:paraId="5918356B" w14:textId="77777777">
        <w:trPr>
          <w:cnfStyle w:val="100000000000" w:firstRow="1" w:lastRow="0" w:firstColumn="0" w:lastColumn="0" w:oddVBand="0" w:evenVBand="0" w:oddHBand="0" w:evenHBand="0" w:firstRowFirstColumn="0" w:firstRowLastColumn="0" w:lastRowFirstColumn="0" w:lastRowLastColumn="0"/>
          <w:cantSplit/>
          <w:tblHeader/>
        </w:trPr>
        <w:tc>
          <w:tcPr>
            <w:tcW w:w="720" w:type="dxa"/>
            <w:vAlign w:val="center"/>
          </w:tcPr>
          <w:p w14:paraId="5B7BFB71" w14:textId="77777777" w:rsidR="00374D49" w:rsidRDefault="00374D49">
            <w:pPr>
              <w:keepNext/>
              <w:rPr>
                <w:rFonts w:cs="Times New Roman"/>
                <w:b/>
                <w:sz w:val="16"/>
                <w:szCs w:val="16"/>
              </w:rPr>
            </w:pPr>
            <w:r>
              <w:rPr>
                <w:rFonts w:cs="Times New Roman"/>
                <w:b/>
                <w:sz w:val="16"/>
                <w:szCs w:val="16"/>
              </w:rPr>
              <w:t>Rank</w:t>
            </w:r>
          </w:p>
        </w:tc>
        <w:tc>
          <w:tcPr>
            <w:tcW w:w="1224" w:type="dxa"/>
            <w:vAlign w:val="center"/>
          </w:tcPr>
          <w:p w14:paraId="3E69FBDD" w14:textId="77777777" w:rsidR="00374D49" w:rsidRDefault="00374D49">
            <w:pPr>
              <w:keepNext/>
              <w:rPr>
                <w:rFonts w:cs="Times New Roman"/>
                <w:b/>
                <w:sz w:val="16"/>
                <w:szCs w:val="16"/>
              </w:rPr>
            </w:pPr>
            <w:r>
              <w:rPr>
                <w:rFonts w:cs="Times New Roman"/>
                <w:b/>
                <w:sz w:val="16"/>
                <w:szCs w:val="16"/>
              </w:rPr>
              <w:t>State</w:t>
            </w:r>
          </w:p>
        </w:tc>
        <w:tc>
          <w:tcPr>
            <w:tcW w:w="1800" w:type="dxa"/>
            <w:vAlign w:val="center"/>
          </w:tcPr>
          <w:p w14:paraId="02F010A6" w14:textId="77777777" w:rsidR="00374D49" w:rsidRDefault="00374D49">
            <w:pPr>
              <w:keepNext/>
              <w:rPr>
                <w:rFonts w:cs="Times New Roman"/>
                <w:b/>
                <w:sz w:val="16"/>
                <w:szCs w:val="16"/>
              </w:rPr>
            </w:pPr>
            <w:r>
              <w:rPr>
                <w:rFonts w:cs="Times New Roman"/>
                <w:b/>
                <w:sz w:val="16"/>
                <w:szCs w:val="16"/>
              </w:rPr>
              <w:t>LGA</w:t>
            </w:r>
          </w:p>
        </w:tc>
        <w:tc>
          <w:tcPr>
            <w:tcW w:w="2376" w:type="dxa"/>
            <w:vAlign w:val="center"/>
          </w:tcPr>
          <w:p w14:paraId="4EBB6F18" w14:textId="77777777" w:rsidR="00374D49" w:rsidRDefault="00374D49">
            <w:pPr>
              <w:keepNext/>
              <w:rPr>
                <w:rFonts w:cs="Times New Roman"/>
                <w:b/>
                <w:sz w:val="16"/>
                <w:szCs w:val="16"/>
              </w:rPr>
            </w:pPr>
            <w:r>
              <w:rPr>
                <w:rFonts w:cs="Times New Roman"/>
                <w:b/>
                <w:sz w:val="16"/>
                <w:szCs w:val="16"/>
              </w:rPr>
              <w:t>Zero-dose children (95% CrI)</w:t>
            </w:r>
          </w:p>
        </w:tc>
        <w:tc>
          <w:tcPr>
            <w:tcW w:w="1800" w:type="dxa"/>
            <w:vAlign w:val="center"/>
          </w:tcPr>
          <w:p w14:paraId="07A1CDCE" w14:textId="77777777" w:rsidR="00374D49" w:rsidRDefault="00374D49">
            <w:pPr>
              <w:keepNext/>
              <w:rPr>
                <w:rFonts w:cs="Times New Roman"/>
                <w:b/>
                <w:sz w:val="16"/>
                <w:szCs w:val="16"/>
              </w:rPr>
            </w:pPr>
            <w:r>
              <w:rPr>
                <w:rFonts w:cs="Times New Roman"/>
                <w:b/>
                <w:sz w:val="16"/>
                <w:szCs w:val="16"/>
              </w:rPr>
              <w:t>Rate % (95% CrI)</w:t>
            </w:r>
          </w:p>
        </w:tc>
        <w:tc>
          <w:tcPr>
            <w:tcW w:w="1108" w:type="dxa"/>
            <w:vAlign w:val="center"/>
          </w:tcPr>
          <w:p w14:paraId="65611965" w14:textId="77777777" w:rsidR="00374D49" w:rsidRDefault="00374D49">
            <w:pPr>
              <w:keepNext/>
              <w:rPr>
                <w:rFonts w:cs="Times New Roman"/>
                <w:b/>
                <w:sz w:val="16"/>
                <w:szCs w:val="16"/>
              </w:rPr>
            </w:pPr>
            <w:r>
              <w:rPr>
                <w:rFonts w:cs="Times New Roman"/>
                <w:b/>
                <w:sz w:val="16"/>
                <w:szCs w:val="16"/>
              </w:rPr>
              <w:t>P(top 155)</w:t>
            </w:r>
          </w:p>
        </w:tc>
      </w:tr>
      <w:tr w:rsidR="00374D49" w14:paraId="14A723BB"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0C64222" w14:textId="77777777" w:rsidR="00374D49" w:rsidRDefault="00374D49">
            <w:pPr>
              <w:keepNext/>
              <w:rPr>
                <w:rFonts w:cs="Times New Roman"/>
                <w:sz w:val="16"/>
                <w:szCs w:val="16"/>
              </w:rPr>
            </w:pPr>
            <w:r>
              <w:rPr>
                <w:rFonts w:cs="Times New Roman"/>
                <w:sz w:val="16"/>
                <w:szCs w:val="16"/>
              </w:rPr>
              <w:t>1</w:t>
            </w:r>
          </w:p>
        </w:tc>
        <w:tc>
          <w:tcPr>
            <w:tcW w:w="1224" w:type="dxa"/>
            <w:vAlign w:val="center"/>
          </w:tcPr>
          <w:p w14:paraId="20E3DA49"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039E461" w14:textId="77777777" w:rsidR="00374D49" w:rsidRDefault="00374D49">
            <w:pPr>
              <w:keepNext/>
              <w:rPr>
                <w:rFonts w:cs="Times New Roman"/>
                <w:sz w:val="16"/>
                <w:szCs w:val="16"/>
              </w:rPr>
            </w:pPr>
            <w:r>
              <w:rPr>
                <w:rFonts w:cs="Times New Roman"/>
                <w:sz w:val="16"/>
                <w:szCs w:val="16"/>
              </w:rPr>
              <w:t>Gusau</w:t>
            </w:r>
          </w:p>
        </w:tc>
        <w:tc>
          <w:tcPr>
            <w:tcW w:w="2376" w:type="dxa"/>
            <w:vAlign w:val="center"/>
          </w:tcPr>
          <w:p w14:paraId="27FB507B" w14:textId="77777777" w:rsidR="00374D49" w:rsidRDefault="00374D49">
            <w:pPr>
              <w:keepNext/>
              <w:rPr>
                <w:rFonts w:cs="Times New Roman"/>
                <w:sz w:val="16"/>
                <w:szCs w:val="16"/>
              </w:rPr>
            </w:pPr>
            <w:r>
              <w:rPr>
                <w:rFonts w:cs="Times New Roman"/>
                <w:sz w:val="16"/>
                <w:szCs w:val="16"/>
              </w:rPr>
              <w:t>16,100 (5,733-23,565)</w:t>
            </w:r>
          </w:p>
        </w:tc>
        <w:tc>
          <w:tcPr>
            <w:tcW w:w="1800" w:type="dxa"/>
            <w:vAlign w:val="center"/>
          </w:tcPr>
          <w:p w14:paraId="6F4B4018" w14:textId="77777777" w:rsidR="00374D49" w:rsidRDefault="00374D49">
            <w:pPr>
              <w:keepNext/>
              <w:rPr>
                <w:rFonts w:cs="Times New Roman"/>
                <w:sz w:val="16"/>
                <w:szCs w:val="16"/>
              </w:rPr>
            </w:pPr>
            <w:r>
              <w:rPr>
                <w:rFonts w:cs="Times New Roman"/>
                <w:sz w:val="16"/>
                <w:szCs w:val="16"/>
              </w:rPr>
              <w:t>64.4 (23-94)</w:t>
            </w:r>
          </w:p>
        </w:tc>
        <w:tc>
          <w:tcPr>
            <w:tcW w:w="1108" w:type="dxa"/>
            <w:vAlign w:val="center"/>
          </w:tcPr>
          <w:p w14:paraId="34E6C883" w14:textId="77777777" w:rsidR="00374D49" w:rsidRDefault="00374D49">
            <w:pPr>
              <w:keepNext/>
              <w:rPr>
                <w:rFonts w:cs="Times New Roman"/>
                <w:sz w:val="16"/>
                <w:szCs w:val="16"/>
              </w:rPr>
            </w:pPr>
            <w:r>
              <w:rPr>
                <w:rFonts w:cs="Times New Roman"/>
                <w:sz w:val="16"/>
                <w:szCs w:val="16"/>
              </w:rPr>
              <w:t>0.98</w:t>
            </w:r>
          </w:p>
        </w:tc>
      </w:tr>
      <w:tr w:rsidR="00374D49" w14:paraId="2774927E" w14:textId="77777777">
        <w:trPr>
          <w:cantSplit/>
        </w:trPr>
        <w:tc>
          <w:tcPr>
            <w:tcW w:w="720" w:type="dxa"/>
            <w:vAlign w:val="center"/>
          </w:tcPr>
          <w:p w14:paraId="6B12841D" w14:textId="77777777" w:rsidR="00374D49" w:rsidRDefault="00374D49">
            <w:pPr>
              <w:keepNext/>
              <w:rPr>
                <w:rFonts w:cs="Times New Roman"/>
                <w:sz w:val="16"/>
                <w:szCs w:val="16"/>
              </w:rPr>
            </w:pPr>
            <w:r>
              <w:rPr>
                <w:rFonts w:cs="Times New Roman"/>
                <w:sz w:val="16"/>
                <w:szCs w:val="16"/>
              </w:rPr>
              <w:t>2</w:t>
            </w:r>
          </w:p>
        </w:tc>
        <w:tc>
          <w:tcPr>
            <w:tcW w:w="1224" w:type="dxa"/>
            <w:vAlign w:val="center"/>
          </w:tcPr>
          <w:p w14:paraId="40633BCE"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39FA1DA3" w14:textId="77777777" w:rsidR="00374D49" w:rsidRDefault="00374D49">
            <w:pPr>
              <w:keepNext/>
              <w:rPr>
                <w:rFonts w:cs="Times New Roman"/>
                <w:sz w:val="16"/>
                <w:szCs w:val="16"/>
              </w:rPr>
            </w:pPr>
            <w:r>
              <w:rPr>
                <w:rFonts w:cs="Times New Roman"/>
                <w:sz w:val="16"/>
                <w:szCs w:val="16"/>
              </w:rPr>
              <w:t>Bagudo</w:t>
            </w:r>
          </w:p>
        </w:tc>
        <w:tc>
          <w:tcPr>
            <w:tcW w:w="2376" w:type="dxa"/>
            <w:vAlign w:val="center"/>
          </w:tcPr>
          <w:p w14:paraId="4B4FBAD9" w14:textId="77777777" w:rsidR="00374D49" w:rsidRDefault="00374D49">
            <w:pPr>
              <w:keepNext/>
              <w:rPr>
                <w:rFonts w:cs="Times New Roman"/>
                <w:sz w:val="16"/>
                <w:szCs w:val="16"/>
              </w:rPr>
            </w:pPr>
            <w:r>
              <w:rPr>
                <w:rFonts w:cs="Times New Roman"/>
                <w:sz w:val="16"/>
                <w:szCs w:val="16"/>
              </w:rPr>
              <w:t>12,567 (5,740-16,083)</w:t>
            </w:r>
          </w:p>
        </w:tc>
        <w:tc>
          <w:tcPr>
            <w:tcW w:w="1800" w:type="dxa"/>
            <w:vAlign w:val="center"/>
          </w:tcPr>
          <w:p w14:paraId="4CBFFF5B" w14:textId="77777777" w:rsidR="00374D49" w:rsidRDefault="00374D49">
            <w:pPr>
              <w:keepNext/>
              <w:rPr>
                <w:rFonts w:cs="Times New Roman"/>
                <w:sz w:val="16"/>
                <w:szCs w:val="16"/>
              </w:rPr>
            </w:pPr>
            <w:r>
              <w:rPr>
                <w:rFonts w:cs="Times New Roman"/>
                <w:sz w:val="16"/>
                <w:szCs w:val="16"/>
              </w:rPr>
              <w:t>76.2 (35-97)</w:t>
            </w:r>
          </w:p>
        </w:tc>
        <w:tc>
          <w:tcPr>
            <w:tcW w:w="1108" w:type="dxa"/>
            <w:vAlign w:val="center"/>
          </w:tcPr>
          <w:p w14:paraId="7CB42ECE" w14:textId="77777777" w:rsidR="00374D49" w:rsidRDefault="00374D49">
            <w:pPr>
              <w:keepNext/>
              <w:rPr>
                <w:rFonts w:cs="Times New Roman"/>
                <w:sz w:val="16"/>
                <w:szCs w:val="16"/>
              </w:rPr>
            </w:pPr>
            <w:r>
              <w:rPr>
                <w:rFonts w:cs="Times New Roman"/>
                <w:sz w:val="16"/>
                <w:szCs w:val="16"/>
              </w:rPr>
              <w:t>0.98</w:t>
            </w:r>
          </w:p>
        </w:tc>
      </w:tr>
      <w:tr w:rsidR="00374D49" w14:paraId="0F0DF9A7"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3E24B6C7" w14:textId="77777777" w:rsidR="00374D49" w:rsidRDefault="00374D49">
            <w:pPr>
              <w:keepNext/>
              <w:rPr>
                <w:rFonts w:cs="Times New Roman"/>
                <w:sz w:val="16"/>
                <w:szCs w:val="16"/>
              </w:rPr>
            </w:pPr>
            <w:r>
              <w:rPr>
                <w:rFonts w:cs="Times New Roman"/>
                <w:sz w:val="16"/>
                <w:szCs w:val="16"/>
              </w:rPr>
              <w:t>3</w:t>
            </w:r>
          </w:p>
        </w:tc>
        <w:tc>
          <w:tcPr>
            <w:tcW w:w="1224" w:type="dxa"/>
            <w:vAlign w:val="center"/>
          </w:tcPr>
          <w:p w14:paraId="2184C351"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7D45B7CA" w14:textId="77777777" w:rsidR="00374D49" w:rsidRDefault="00374D49">
            <w:pPr>
              <w:keepNext/>
              <w:rPr>
                <w:rFonts w:cs="Times New Roman"/>
                <w:sz w:val="16"/>
                <w:szCs w:val="16"/>
              </w:rPr>
            </w:pPr>
            <w:r>
              <w:rPr>
                <w:rFonts w:cs="Times New Roman"/>
                <w:sz w:val="16"/>
                <w:szCs w:val="16"/>
              </w:rPr>
              <w:t>Zurmi</w:t>
            </w:r>
          </w:p>
        </w:tc>
        <w:tc>
          <w:tcPr>
            <w:tcW w:w="2376" w:type="dxa"/>
            <w:vAlign w:val="center"/>
          </w:tcPr>
          <w:p w14:paraId="76A8B784" w14:textId="77777777" w:rsidR="00374D49" w:rsidRDefault="00374D49">
            <w:pPr>
              <w:keepNext/>
              <w:rPr>
                <w:rFonts w:cs="Times New Roman"/>
                <w:sz w:val="16"/>
                <w:szCs w:val="16"/>
              </w:rPr>
            </w:pPr>
            <w:r>
              <w:rPr>
                <w:rFonts w:cs="Times New Roman"/>
                <w:sz w:val="16"/>
                <w:szCs w:val="16"/>
              </w:rPr>
              <w:t>12,406 (4,266-18,113)</w:t>
            </w:r>
          </w:p>
        </w:tc>
        <w:tc>
          <w:tcPr>
            <w:tcW w:w="1800" w:type="dxa"/>
            <w:vAlign w:val="center"/>
          </w:tcPr>
          <w:p w14:paraId="41953BF6" w14:textId="77777777" w:rsidR="00374D49" w:rsidRDefault="00374D49">
            <w:pPr>
              <w:keepNext/>
              <w:rPr>
                <w:rFonts w:cs="Times New Roman"/>
                <w:sz w:val="16"/>
                <w:szCs w:val="16"/>
              </w:rPr>
            </w:pPr>
            <w:r>
              <w:rPr>
                <w:rFonts w:cs="Times New Roman"/>
                <w:sz w:val="16"/>
                <w:szCs w:val="16"/>
              </w:rPr>
              <w:t>64.7 (22-95)</w:t>
            </w:r>
          </w:p>
        </w:tc>
        <w:tc>
          <w:tcPr>
            <w:tcW w:w="1108" w:type="dxa"/>
            <w:vAlign w:val="center"/>
          </w:tcPr>
          <w:p w14:paraId="152A33B2" w14:textId="77777777" w:rsidR="00374D49" w:rsidRDefault="00374D49">
            <w:pPr>
              <w:keepNext/>
              <w:rPr>
                <w:rFonts w:cs="Times New Roman"/>
                <w:sz w:val="16"/>
                <w:szCs w:val="16"/>
              </w:rPr>
            </w:pPr>
            <w:r>
              <w:rPr>
                <w:rFonts w:cs="Times New Roman"/>
                <w:sz w:val="16"/>
                <w:szCs w:val="16"/>
              </w:rPr>
              <w:t>0.96</w:t>
            </w:r>
          </w:p>
        </w:tc>
      </w:tr>
      <w:tr w:rsidR="00374D49" w14:paraId="25D46792" w14:textId="77777777">
        <w:trPr>
          <w:cantSplit/>
        </w:trPr>
        <w:tc>
          <w:tcPr>
            <w:tcW w:w="720" w:type="dxa"/>
            <w:vAlign w:val="center"/>
          </w:tcPr>
          <w:p w14:paraId="262F21CF" w14:textId="77777777" w:rsidR="00374D49" w:rsidRDefault="00374D49">
            <w:pPr>
              <w:keepNext/>
              <w:rPr>
                <w:rFonts w:cs="Times New Roman"/>
                <w:sz w:val="16"/>
                <w:szCs w:val="16"/>
              </w:rPr>
            </w:pPr>
            <w:r>
              <w:rPr>
                <w:rFonts w:cs="Times New Roman"/>
                <w:sz w:val="16"/>
                <w:szCs w:val="16"/>
              </w:rPr>
              <w:t>4</w:t>
            </w:r>
          </w:p>
        </w:tc>
        <w:tc>
          <w:tcPr>
            <w:tcW w:w="1224" w:type="dxa"/>
            <w:vAlign w:val="center"/>
          </w:tcPr>
          <w:p w14:paraId="7930C721"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5F544163" w14:textId="77777777" w:rsidR="00374D49" w:rsidRDefault="00374D49">
            <w:pPr>
              <w:keepNext/>
              <w:rPr>
                <w:rFonts w:cs="Times New Roman"/>
                <w:sz w:val="16"/>
                <w:szCs w:val="16"/>
              </w:rPr>
            </w:pPr>
            <w:r>
              <w:rPr>
                <w:rFonts w:cs="Times New Roman"/>
                <w:sz w:val="16"/>
                <w:szCs w:val="16"/>
              </w:rPr>
              <w:t>Tambuwal</w:t>
            </w:r>
          </w:p>
        </w:tc>
        <w:tc>
          <w:tcPr>
            <w:tcW w:w="2376" w:type="dxa"/>
            <w:vAlign w:val="center"/>
          </w:tcPr>
          <w:p w14:paraId="3E5D4B4E" w14:textId="77777777" w:rsidR="00374D49" w:rsidRDefault="00374D49">
            <w:pPr>
              <w:keepNext/>
              <w:rPr>
                <w:rFonts w:cs="Times New Roman"/>
                <w:sz w:val="16"/>
                <w:szCs w:val="16"/>
              </w:rPr>
            </w:pPr>
            <w:r>
              <w:rPr>
                <w:rFonts w:cs="Times New Roman"/>
                <w:sz w:val="16"/>
                <w:szCs w:val="16"/>
              </w:rPr>
              <w:t>12,170 (7,507-14,125)</w:t>
            </w:r>
          </w:p>
        </w:tc>
        <w:tc>
          <w:tcPr>
            <w:tcW w:w="1800" w:type="dxa"/>
            <w:vAlign w:val="center"/>
          </w:tcPr>
          <w:p w14:paraId="1C1ECF19" w14:textId="77777777" w:rsidR="00374D49" w:rsidRDefault="00374D49">
            <w:pPr>
              <w:keepNext/>
              <w:rPr>
                <w:rFonts w:cs="Times New Roman"/>
                <w:sz w:val="16"/>
                <w:szCs w:val="16"/>
              </w:rPr>
            </w:pPr>
            <w:r>
              <w:rPr>
                <w:rFonts w:cs="Times New Roman"/>
                <w:sz w:val="16"/>
                <w:szCs w:val="16"/>
              </w:rPr>
              <w:t>85.0 (52-99)</w:t>
            </w:r>
          </w:p>
        </w:tc>
        <w:tc>
          <w:tcPr>
            <w:tcW w:w="1108" w:type="dxa"/>
            <w:vAlign w:val="center"/>
          </w:tcPr>
          <w:p w14:paraId="64FBAACD" w14:textId="77777777" w:rsidR="00374D49" w:rsidRDefault="00374D49">
            <w:pPr>
              <w:keepNext/>
              <w:rPr>
                <w:rFonts w:cs="Times New Roman"/>
                <w:sz w:val="16"/>
                <w:szCs w:val="16"/>
              </w:rPr>
            </w:pPr>
            <w:r>
              <w:rPr>
                <w:rFonts w:cs="Times New Roman"/>
                <w:sz w:val="16"/>
                <w:szCs w:val="16"/>
              </w:rPr>
              <w:t>0.99</w:t>
            </w:r>
          </w:p>
        </w:tc>
      </w:tr>
      <w:tr w:rsidR="00374D49" w14:paraId="53DB29B4"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096117F" w14:textId="77777777" w:rsidR="00374D49" w:rsidRDefault="00374D49">
            <w:pPr>
              <w:keepNext/>
              <w:rPr>
                <w:rFonts w:cs="Times New Roman"/>
                <w:sz w:val="16"/>
                <w:szCs w:val="16"/>
              </w:rPr>
            </w:pPr>
            <w:r>
              <w:rPr>
                <w:rFonts w:cs="Times New Roman"/>
                <w:sz w:val="16"/>
                <w:szCs w:val="16"/>
              </w:rPr>
              <w:t>5</w:t>
            </w:r>
          </w:p>
        </w:tc>
        <w:tc>
          <w:tcPr>
            <w:tcW w:w="1224" w:type="dxa"/>
            <w:vAlign w:val="center"/>
          </w:tcPr>
          <w:p w14:paraId="782A1D95"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02BDE547" w14:textId="77777777" w:rsidR="00374D49" w:rsidRDefault="00374D49">
            <w:pPr>
              <w:keepNext/>
              <w:rPr>
                <w:rFonts w:cs="Times New Roman"/>
                <w:sz w:val="16"/>
                <w:szCs w:val="16"/>
              </w:rPr>
            </w:pPr>
            <w:r>
              <w:rPr>
                <w:rFonts w:cs="Times New Roman"/>
                <w:sz w:val="16"/>
                <w:szCs w:val="16"/>
              </w:rPr>
              <w:t>Danko/Wasagu</w:t>
            </w:r>
          </w:p>
        </w:tc>
        <w:tc>
          <w:tcPr>
            <w:tcW w:w="2376" w:type="dxa"/>
            <w:vAlign w:val="center"/>
          </w:tcPr>
          <w:p w14:paraId="4A1189EB" w14:textId="77777777" w:rsidR="00374D49" w:rsidRDefault="00374D49">
            <w:pPr>
              <w:keepNext/>
              <w:rPr>
                <w:rFonts w:cs="Times New Roman"/>
                <w:sz w:val="16"/>
                <w:szCs w:val="16"/>
              </w:rPr>
            </w:pPr>
            <w:r>
              <w:rPr>
                <w:rFonts w:cs="Times New Roman"/>
                <w:sz w:val="16"/>
                <w:szCs w:val="16"/>
              </w:rPr>
              <w:t>12,041 (3,977-17,413)</w:t>
            </w:r>
          </w:p>
        </w:tc>
        <w:tc>
          <w:tcPr>
            <w:tcW w:w="1800" w:type="dxa"/>
            <w:vAlign w:val="center"/>
          </w:tcPr>
          <w:p w14:paraId="1DE4CDE6" w14:textId="77777777" w:rsidR="00374D49" w:rsidRDefault="00374D49">
            <w:pPr>
              <w:keepNext/>
              <w:rPr>
                <w:rFonts w:cs="Times New Roman"/>
                <w:sz w:val="16"/>
                <w:szCs w:val="16"/>
              </w:rPr>
            </w:pPr>
            <w:r>
              <w:rPr>
                <w:rFonts w:cs="Times New Roman"/>
                <w:sz w:val="16"/>
                <w:szCs w:val="16"/>
              </w:rPr>
              <w:t>65.5 (22-95)</w:t>
            </w:r>
          </w:p>
        </w:tc>
        <w:tc>
          <w:tcPr>
            <w:tcW w:w="1108" w:type="dxa"/>
            <w:vAlign w:val="center"/>
          </w:tcPr>
          <w:p w14:paraId="6DBBACA5" w14:textId="77777777" w:rsidR="00374D49" w:rsidRDefault="00374D49">
            <w:pPr>
              <w:keepNext/>
              <w:rPr>
                <w:rFonts w:cs="Times New Roman"/>
                <w:sz w:val="16"/>
                <w:szCs w:val="16"/>
              </w:rPr>
            </w:pPr>
            <w:r>
              <w:rPr>
                <w:rFonts w:cs="Times New Roman"/>
                <w:sz w:val="16"/>
                <w:szCs w:val="16"/>
              </w:rPr>
              <w:t>0.96</w:t>
            </w:r>
          </w:p>
        </w:tc>
      </w:tr>
      <w:tr w:rsidR="00374D49" w14:paraId="2F0BA85D" w14:textId="77777777">
        <w:trPr>
          <w:cantSplit/>
        </w:trPr>
        <w:tc>
          <w:tcPr>
            <w:tcW w:w="720" w:type="dxa"/>
            <w:vAlign w:val="center"/>
          </w:tcPr>
          <w:p w14:paraId="19DBD0A9" w14:textId="77777777" w:rsidR="00374D49" w:rsidRDefault="00374D49">
            <w:pPr>
              <w:keepNext/>
              <w:rPr>
                <w:rFonts w:cs="Times New Roman"/>
                <w:sz w:val="16"/>
                <w:szCs w:val="16"/>
              </w:rPr>
            </w:pPr>
            <w:r>
              <w:rPr>
                <w:rFonts w:cs="Times New Roman"/>
                <w:sz w:val="16"/>
                <w:szCs w:val="16"/>
              </w:rPr>
              <w:t>6</w:t>
            </w:r>
          </w:p>
        </w:tc>
        <w:tc>
          <w:tcPr>
            <w:tcW w:w="1224" w:type="dxa"/>
            <w:vAlign w:val="center"/>
          </w:tcPr>
          <w:p w14:paraId="20E096F3"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630B9A8D" w14:textId="77777777" w:rsidR="00374D49" w:rsidRDefault="00374D49">
            <w:pPr>
              <w:keepNext/>
              <w:rPr>
                <w:rFonts w:cs="Times New Roman"/>
                <w:sz w:val="16"/>
                <w:szCs w:val="16"/>
              </w:rPr>
            </w:pPr>
            <w:r>
              <w:rPr>
                <w:rFonts w:cs="Times New Roman"/>
                <w:sz w:val="16"/>
                <w:szCs w:val="16"/>
              </w:rPr>
              <w:t>Maru</w:t>
            </w:r>
          </w:p>
        </w:tc>
        <w:tc>
          <w:tcPr>
            <w:tcW w:w="2376" w:type="dxa"/>
            <w:vAlign w:val="center"/>
          </w:tcPr>
          <w:p w14:paraId="4F350EDB" w14:textId="77777777" w:rsidR="00374D49" w:rsidRDefault="00374D49">
            <w:pPr>
              <w:keepNext/>
              <w:rPr>
                <w:rFonts w:cs="Times New Roman"/>
                <w:sz w:val="16"/>
                <w:szCs w:val="16"/>
              </w:rPr>
            </w:pPr>
            <w:r>
              <w:rPr>
                <w:rFonts w:cs="Times New Roman"/>
                <w:sz w:val="16"/>
                <w:szCs w:val="16"/>
              </w:rPr>
              <w:t>11,904 (3,755-17,925)</w:t>
            </w:r>
          </w:p>
        </w:tc>
        <w:tc>
          <w:tcPr>
            <w:tcW w:w="1800" w:type="dxa"/>
            <w:vAlign w:val="center"/>
          </w:tcPr>
          <w:p w14:paraId="4187B629" w14:textId="77777777" w:rsidR="00374D49" w:rsidRDefault="00374D49">
            <w:pPr>
              <w:keepNext/>
              <w:rPr>
                <w:rFonts w:cs="Times New Roman"/>
                <w:sz w:val="16"/>
                <w:szCs w:val="16"/>
              </w:rPr>
            </w:pPr>
            <w:r>
              <w:rPr>
                <w:rFonts w:cs="Times New Roman"/>
                <w:sz w:val="16"/>
                <w:szCs w:val="16"/>
              </w:rPr>
              <w:t>62.3 (20-94)</w:t>
            </w:r>
          </w:p>
        </w:tc>
        <w:tc>
          <w:tcPr>
            <w:tcW w:w="1108" w:type="dxa"/>
            <w:vAlign w:val="center"/>
          </w:tcPr>
          <w:p w14:paraId="0E640B21" w14:textId="77777777" w:rsidR="00374D49" w:rsidRDefault="00374D49">
            <w:pPr>
              <w:keepNext/>
              <w:rPr>
                <w:rFonts w:cs="Times New Roman"/>
                <w:sz w:val="16"/>
                <w:szCs w:val="16"/>
              </w:rPr>
            </w:pPr>
            <w:r>
              <w:rPr>
                <w:rFonts w:cs="Times New Roman"/>
                <w:sz w:val="16"/>
                <w:szCs w:val="16"/>
              </w:rPr>
              <w:t>0.95</w:t>
            </w:r>
          </w:p>
        </w:tc>
      </w:tr>
      <w:tr w:rsidR="00374D49" w14:paraId="5DF5728A"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6D46B42D" w14:textId="77777777" w:rsidR="00374D49" w:rsidRDefault="00374D49">
            <w:pPr>
              <w:keepNext/>
              <w:rPr>
                <w:rFonts w:cs="Times New Roman"/>
                <w:sz w:val="16"/>
                <w:szCs w:val="16"/>
              </w:rPr>
            </w:pPr>
            <w:r>
              <w:rPr>
                <w:rFonts w:cs="Times New Roman"/>
                <w:sz w:val="16"/>
                <w:szCs w:val="16"/>
              </w:rPr>
              <w:t>7</w:t>
            </w:r>
          </w:p>
        </w:tc>
        <w:tc>
          <w:tcPr>
            <w:tcW w:w="1224" w:type="dxa"/>
            <w:vAlign w:val="center"/>
          </w:tcPr>
          <w:p w14:paraId="4C7B0B9F" w14:textId="77777777" w:rsidR="00374D49" w:rsidRDefault="00374D49">
            <w:pPr>
              <w:keepNext/>
              <w:rPr>
                <w:rFonts w:cs="Times New Roman"/>
                <w:sz w:val="16"/>
                <w:szCs w:val="16"/>
              </w:rPr>
            </w:pPr>
            <w:r>
              <w:rPr>
                <w:rFonts w:cs="Times New Roman"/>
                <w:sz w:val="16"/>
                <w:szCs w:val="16"/>
              </w:rPr>
              <w:t>Sokoto</w:t>
            </w:r>
          </w:p>
        </w:tc>
        <w:tc>
          <w:tcPr>
            <w:tcW w:w="1800" w:type="dxa"/>
            <w:vAlign w:val="center"/>
          </w:tcPr>
          <w:p w14:paraId="2779B48C" w14:textId="77777777" w:rsidR="00374D49" w:rsidRDefault="00374D49">
            <w:pPr>
              <w:keepNext/>
              <w:rPr>
                <w:rFonts w:cs="Times New Roman"/>
                <w:sz w:val="16"/>
                <w:szCs w:val="16"/>
              </w:rPr>
            </w:pPr>
            <w:r>
              <w:rPr>
                <w:rFonts w:cs="Times New Roman"/>
                <w:sz w:val="16"/>
                <w:szCs w:val="16"/>
              </w:rPr>
              <w:t>Gada</w:t>
            </w:r>
          </w:p>
        </w:tc>
        <w:tc>
          <w:tcPr>
            <w:tcW w:w="2376" w:type="dxa"/>
            <w:vAlign w:val="center"/>
          </w:tcPr>
          <w:p w14:paraId="031013EA" w14:textId="77777777" w:rsidR="00374D49" w:rsidRDefault="00374D49">
            <w:pPr>
              <w:keepNext/>
              <w:rPr>
                <w:rFonts w:cs="Times New Roman"/>
                <w:sz w:val="16"/>
                <w:szCs w:val="16"/>
              </w:rPr>
            </w:pPr>
            <w:r>
              <w:rPr>
                <w:rFonts w:cs="Times New Roman"/>
                <w:sz w:val="16"/>
                <w:szCs w:val="16"/>
              </w:rPr>
              <w:t>11,871 (5,327-15,319)</w:t>
            </w:r>
          </w:p>
        </w:tc>
        <w:tc>
          <w:tcPr>
            <w:tcW w:w="1800" w:type="dxa"/>
            <w:vAlign w:val="center"/>
          </w:tcPr>
          <w:p w14:paraId="1AD89C33" w14:textId="77777777" w:rsidR="00374D49" w:rsidRDefault="00374D49">
            <w:pPr>
              <w:keepNext/>
              <w:rPr>
                <w:rFonts w:cs="Times New Roman"/>
                <w:sz w:val="16"/>
                <w:szCs w:val="16"/>
              </w:rPr>
            </w:pPr>
            <w:r>
              <w:rPr>
                <w:rFonts w:cs="Times New Roman"/>
                <w:sz w:val="16"/>
                <w:szCs w:val="16"/>
              </w:rPr>
              <w:t>75.2 (34-97)</w:t>
            </w:r>
          </w:p>
        </w:tc>
        <w:tc>
          <w:tcPr>
            <w:tcW w:w="1108" w:type="dxa"/>
            <w:vAlign w:val="center"/>
          </w:tcPr>
          <w:p w14:paraId="02ED201C" w14:textId="77777777" w:rsidR="00374D49" w:rsidRDefault="00374D49">
            <w:pPr>
              <w:keepNext/>
              <w:rPr>
                <w:rFonts w:cs="Times New Roman"/>
                <w:sz w:val="16"/>
                <w:szCs w:val="16"/>
              </w:rPr>
            </w:pPr>
            <w:r>
              <w:rPr>
                <w:rFonts w:cs="Times New Roman"/>
                <w:sz w:val="16"/>
                <w:szCs w:val="16"/>
              </w:rPr>
              <w:t>0.98</w:t>
            </w:r>
          </w:p>
        </w:tc>
      </w:tr>
      <w:tr w:rsidR="00374D49" w14:paraId="4A575AFC" w14:textId="77777777">
        <w:trPr>
          <w:cantSplit/>
        </w:trPr>
        <w:tc>
          <w:tcPr>
            <w:tcW w:w="720" w:type="dxa"/>
            <w:vAlign w:val="center"/>
          </w:tcPr>
          <w:p w14:paraId="2C3803F5" w14:textId="77777777" w:rsidR="00374D49" w:rsidRDefault="00374D49">
            <w:pPr>
              <w:keepNext/>
              <w:rPr>
                <w:rFonts w:cs="Times New Roman"/>
                <w:sz w:val="16"/>
                <w:szCs w:val="16"/>
              </w:rPr>
            </w:pPr>
            <w:r>
              <w:rPr>
                <w:rFonts w:cs="Times New Roman"/>
                <w:sz w:val="16"/>
                <w:szCs w:val="16"/>
              </w:rPr>
              <w:t>8</w:t>
            </w:r>
          </w:p>
        </w:tc>
        <w:tc>
          <w:tcPr>
            <w:tcW w:w="1224" w:type="dxa"/>
            <w:vAlign w:val="center"/>
          </w:tcPr>
          <w:p w14:paraId="7BFCA717" w14:textId="77777777" w:rsidR="00374D49" w:rsidRDefault="00374D49">
            <w:pPr>
              <w:keepNext/>
              <w:rPr>
                <w:rFonts w:cs="Times New Roman"/>
                <w:sz w:val="16"/>
                <w:szCs w:val="16"/>
              </w:rPr>
            </w:pPr>
            <w:r>
              <w:rPr>
                <w:rFonts w:cs="Times New Roman"/>
                <w:sz w:val="16"/>
                <w:szCs w:val="16"/>
              </w:rPr>
              <w:t>Kebbi</w:t>
            </w:r>
          </w:p>
        </w:tc>
        <w:tc>
          <w:tcPr>
            <w:tcW w:w="1800" w:type="dxa"/>
            <w:vAlign w:val="center"/>
          </w:tcPr>
          <w:p w14:paraId="26A31C70" w14:textId="77777777" w:rsidR="00374D49" w:rsidRDefault="00374D49">
            <w:pPr>
              <w:keepNext/>
              <w:rPr>
                <w:rFonts w:cs="Times New Roman"/>
                <w:sz w:val="16"/>
                <w:szCs w:val="16"/>
              </w:rPr>
            </w:pPr>
            <w:r>
              <w:rPr>
                <w:rFonts w:cs="Times New Roman"/>
                <w:sz w:val="16"/>
                <w:szCs w:val="16"/>
              </w:rPr>
              <w:t>Birnin Kebbi</w:t>
            </w:r>
          </w:p>
        </w:tc>
        <w:tc>
          <w:tcPr>
            <w:tcW w:w="2376" w:type="dxa"/>
            <w:vAlign w:val="center"/>
          </w:tcPr>
          <w:p w14:paraId="5A86AA8F" w14:textId="77777777" w:rsidR="00374D49" w:rsidRDefault="00374D49">
            <w:pPr>
              <w:keepNext/>
              <w:rPr>
                <w:rFonts w:cs="Times New Roman"/>
                <w:sz w:val="16"/>
                <w:szCs w:val="16"/>
              </w:rPr>
            </w:pPr>
            <w:r>
              <w:rPr>
                <w:rFonts w:cs="Times New Roman"/>
                <w:sz w:val="16"/>
                <w:szCs w:val="16"/>
              </w:rPr>
              <w:t>11,293 (3,063-17,295)</w:t>
            </w:r>
          </w:p>
        </w:tc>
        <w:tc>
          <w:tcPr>
            <w:tcW w:w="1800" w:type="dxa"/>
            <w:vAlign w:val="center"/>
          </w:tcPr>
          <w:p w14:paraId="7B4A20CA" w14:textId="77777777" w:rsidR="00374D49" w:rsidRDefault="00374D49">
            <w:pPr>
              <w:keepNext/>
              <w:rPr>
                <w:rFonts w:cs="Times New Roman"/>
                <w:sz w:val="16"/>
                <w:szCs w:val="16"/>
              </w:rPr>
            </w:pPr>
            <w:r>
              <w:rPr>
                <w:rFonts w:cs="Times New Roman"/>
                <w:sz w:val="16"/>
                <w:szCs w:val="16"/>
              </w:rPr>
              <w:t>60.7 (16-93)</w:t>
            </w:r>
          </w:p>
        </w:tc>
        <w:tc>
          <w:tcPr>
            <w:tcW w:w="1108" w:type="dxa"/>
            <w:vAlign w:val="center"/>
          </w:tcPr>
          <w:p w14:paraId="65D8D45A" w14:textId="77777777" w:rsidR="00374D49" w:rsidRDefault="00374D49">
            <w:pPr>
              <w:keepNext/>
              <w:rPr>
                <w:rFonts w:cs="Times New Roman"/>
                <w:sz w:val="16"/>
                <w:szCs w:val="16"/>
              </w:rPr>
            </w:pPr>
            <w:r>
              <w:rPr>
                <w:rFonts w:cs="Times New Roman"/>
                <w:sz w:val="16"/>
                <w:szCs w:val="16"/>
              </w:rPr>
              <w:t>0.94</w:t>
            </w:r>
          </w:p>
        </w:tc>
      </w:tr>
      <w:tr w:rsidR="00374D49" w14:paraId="7F216D6F" w14:textId="77777777">
        <w:trPr>
          <w:cnfStyle w:val="000000100000" w:firstRow="0" w:lastRow="0" w:firstColumn="0" w:lastColumn="0" w:oddVBand="0" w:evenVBand="0" w:oddHBand="1" w:evenHBand="0" w:firstRowFirstColumn="0" w:firstRowLastColumn="0" w:lastRowFirstColumn="0" w:lastRowLastColumn="0"/>
          <w:cantSplit/>
        </w:trPr>
        <w:tc>
          <w:tcPr>
            <w:tcW w:w="720" w:type="dxa"/>
            <w:vAlign w:val="center"/>
          </w:tcPr>
          <w:p w14:paraId="144A4AAB" w14:textId="77777777" w:rsidR="00374D49" w:rsidRDefault="00374D49">
            <w:pPr>
              <w:keepNext/>
              <w:rPr>
                <w:rFonts w:cs="Times New Roman"/>
                <w:sz w:val="16"/>
                <w:szCs w:val="16"/>
              </w:rPr>
            </w:pPr>
            <w:r>
              <w:rPr>
                <w:rFonts w:cs="Times New Roman"/>
                <w:sz w:val="16"/>
                <w:szCs w:val="16"/>
              </w:rPr>
              <w:t>9</w:t>
            </w:r>
          </w:p>
        </w:tc>
        <w:tc>
          <w:tcPr>
            <w:tcW w:w="1224" w:type="dxa"/>
            <w:vAlign w:val="center"/>
          </w:tcPr>
          <w:p w14:paraId="011F42CA" w14:textId="77777777" w:rsidR="00374D49" w:rsidRDefault="00374D49">
            <w:pPr>
              <w:keepNext/>
              <w:rPr>
                <w:rFonts w:cs="Times New Roman"/>
                <w:sz w:val="16"/>
                <w:szCs w:val="16"/>
              </w:rPr>
            </w:pPr>
            <w:r>
              <w:rPr>
                <w:rFonts w:cs="Times New Roman"/>
                <w:sz w:val="16"/>
                <w:szCs w:val="16"/>
              </w:rPr>
              <w:t>Katsina</w:t>
            </w:r>
          </w:p>
        </w:tc>
        <w:tc>
          <w:tcPr>
            <w:tcW w:w="1800" w:type="dxa"/>
            <w:vAlign w:val="center"/>
          </w:tcPr>
          <w:p w14:paraId="2751E97F" w14:textId="77777777" w:rsidR="00374D49" w:rsidRDefault="00374D49">
            <w:pPr>
              <w:keepNext/>
              <w:rPr>
                <w:rFonts w:cs="Times New Roman"/>
                <w:sz w:val="16"/>
                <w:szCs w:val="16"/>
              </w:rPr>
            </w:pPr>
            <w:r>
              <w:rPr>
                <w:rFonts w:cs="Times New Roman"/>
                <w:sz w:val="16"/>
                <w:szCs w:val="16"/>
              </w:rPr>
              <w:t>Kankara</w:t>
            </w:r>
          </w:p>
        </w:tc>
        <w:tc>
          <w:tcPr>
            <w:tcW w:w="2376" w:type="dxa"/>
            <w:vAlign w:val="center"/>
          </w:tcPr>
          <w:p w14:paraId="0C7763C4" w14:textId="77777777" w:rsidR="00374D49" w:rsidRDefault="00374D49">
            <w:pPr>
              <w:keepNext/>
              <w:rPr>
                <w:rFonts w:cs="Times New Roman"/>
                <w:sz w:val="16"/>
                <w:szCs w:val="16"/>
              </w:rPr>
            </w:pPr>
            <w:r>
              <w:rPr>
                <w:rFonts w:cs="Times New Roman"/>
                <w:sz w:val="16"/>
                <w:szCs w:val="16"/>
              </w:rPr>
              <w:t>11,171 (3,058-17,195)</w:t>
            </w:r>
          </w:p>
        </w:tc>
        <w:tc>
          <w:tcPr>
            <w:tcW w:w="1800" w:type="dxa"/>
            <w:vAlign w:val="center"/>
          </w:tcPr>
          <w:p w14:paraId="5B3AFEC7" w14:textId="77777777" w:rsidR="00374D49" w:rsidRDefault="00374D49">
            <w:pPr>
              <w:keepNext/>
              <w:rPr>
                <w:rFonts w:cs="Times New Roman"/>
                <w:sz w:val="16"/>
                <w:szCs w:val="16"/>
              </w:rPr>
            </w:pPr>
            <w:r>
              <w:rPr>
                <w:rFonts w:cs="Times New Roman"/>
                <w:sz w:val="16"/>
                <w:szCs w:val="16"/>
              </w:rPr>
              <w:t>61.2 (17-94)</w:t>
            </w:r>
          </w:p>
        </w:tc>
        <w:tc>
          <w:tcPr>
            <w:tcW w:w="1108" w:type="dxa"/>
            <w:vAlign w:val="center"/>
          </w:tcPr>
          <w:p w14:paraId="014CECB4" w14:textId="77777777" w:rsidR="00374D49" w:rsidRDefault="00374D49">
            <w:pPr>
              <w:keepNext/>
              <w:rPr>
                <w:rFonts w:cs="Times New Roman"/>
                <w:sz w:val="16"/>
                <w:szCs w:val="16"/>
              </w:rPr>
            </w:pPr>
            <w:r>
              <w:rPr>
                <w:rFonts w:cs="Times New Roman"/>
                <w:sz w:val="16"/>
                <w:szCs w:val="16"/>
              </w:rPr>
              <w:t>0.94</w:t>
            </w:r>
          </w:p>
        </w:tc>
      </w:tr>
      <w:tr w:rsidR="00374D49" w14:paraId="4CB10080" w14:textId="77777777">
        <w:trPr>
          <w:cantSplit/>
        </w:trPr>
        <w:tc>
          <w:tcPr>
            <w:tcW w:w="720" w:type="dxa"/>
            <w:vAlign w:val="center"/>
          </w:tcPr>
          <w:p w14:paraId="4070366F" w14:textId="77777777" w:rsidR="00374D49" w:rsidRDefault="00374D49">
            <w:pPr>
              <w:keepNext/>
              <w:rPr>
                <w:rFonts w:cs="Times New Roman"/>
                <w:sz w:val="16"/>
                <w:szCs w:val="16"/>
              </w:rPr>
            </w:pPr>
            <w:r>
              <w:rPr>
                <w:rFonts w:cs="Times New Roman"/>
                <w:sz w:val="16"/>
                <w:szCs w:val="16"/>
              </w:rPr>
              <w:t>10</w:t>
            </w:r>
          </w:p>
        </w:tc>
        <w:tc>
          <w:tcPr>
            <w:tcW w:w="1224" w:type="dxa"/>
            <w:vAlign w:val="center"/>
          </w:tcPr>
          <w:p w14:paraId="2BE51020" w14:textId="77777777" w:rsidR="00374D49" w:rsidRDefault="00374D49">
            <w:pPr>
              <w:keepNext/>
              <w:rPr>
                <w:rFonts w:cs="Times New Roman"/>
                <w:sz w:val="16"/>
                <w:szCs w:val="16"/>
              </w:rPr>
            </w:pPr>
            <w:r>
              <w:rPr>
                <w:rFonts w:cs="Times New Roman"/>
                <w:sz w:val="16"/>
                <w:szCs w:val="16"/>
              </w:rPr>
              <w:t>Zamfara</w:t>
            </w:r>
          </w:p>
        </w:tc>
        <w:tc>
          <w:tcPr>
            <w:tcW w:w="1800" w:type="dxa"/>
            <w:vAlign w:val="center"/>
          </w:tcPr>
          <w:p w14:paraId="0DA86043" w14:textId="77777777" w:rsidR="00374D49" w:rsidRDefault="00374D49">
            <w:pPr>
              <w:keepNext/>
              <w:rPr>
                <w:rFonts w:cs="Times New Roman"/>
                <w:sz w:val="16"/>
                <w:szCs w:val="16"/>
              </w:rPr>
            </w:pPr>
            <w:r>
              <w:rPr>
                <w:rFonts w:cs="Times New Roman"/>
                <w:sz w:val="16"/>
                <w:szCs w:val="16"/>
              </w:rPr>
              <w:t>Tsafe</w:t>
            </w:r>
          </w:p>
        </w:tc>
        <w:tc>
          <w:tcPr>
            <w:tcW w:w="2376" w:type="dxa"/>
            <w:vAlign w:val="center"/>
          </w:tcPr>
          <w:p w14:paraId="0F81AC81" w14:textId="77777777" w:rsidR="00374D49" w:rsidRDefault="00374D49">
            <w:pPr>
              <w:keepNext/>
              <w:rPr>
                <w:rFonts w:cs="Times New Roman"/>
                <w:sz w:val="16"/>
                <w:szCs w:val="16"/>
              </w:rPr>
            </w:pPr>
            <w:r>
              <w:rPr>
                <w:rFonts w:cs="Times New Roman"/>
                <w:sz w:val="16"/>
                <w:szCs w:val="16"/>
              </w:rPr>
              <w:t>11,115 (3,690-16,396)</w:t>
            </w:r>
          </w:p>
        </w:tc>
        <w:tc>
          <w:tcPr>
            <w:tcW w:w="1800" w:type="dxa"/>
            <w:vAlign w:val="center"/>
          </w:tcPr>
          <w:p w14:paraId="7CC3933F" w14:textId="77777777" w:rsidR="00374D49" w:rsidRDefault="00374D49">
            <w:pPr>
              <w:keepNext/>
              <w:rPr>
                <w:rFonts w:cs="Times New Roman"/>
                <w:sz w:val="16"/>
                <w:szCs w:val="16"/>
              </w:rPr>
            </w:pPr>
            <w:r>
              <w:rPr>
                <w:rFonts w:cs="Times New Roman"/>
                <w:sz w:val="16"/>
                <w:szCs w:val="16"/>
              </w:rPr>
              <w:t>63.9 (21-94)</w:t>
            </w:r>
          </w:p>
        </w:tc>
        <w:tc>
          <w:tcPr>
            <w:tcW w:w="1108" w:type="dxa"/>
            <w:vAlign w:val="center"/>
          </w:tcPr>
          <w:p w14:paraId="75F4D58A" w14:textId="77777777" w:rsidR="00374D49" w:rsidRDefault="00374D49">
            <w:pPr>
              <w:keepNext/>
              <w:rPr>
                <w:rFonts w:cs="Times New Roman"/>
                <w:sz w:val="16"/>
                <w:szCs w:val="16"/>
              </w:rPr>
            </w:pPr>
            <w:r>
              <w:rPr>
                <w:rFonts w:cs="Times New Roman"/>
                <w:sz w:val="16"/>
                <w:szCs w:val="16"/>
              </w:rPr>
              <w:t>0.95</w:t>
            </w:r>
          </w:p>
        </w:tc>
      </w:tr>
    </w:tbl>
    <w:p w14:paraId="3D6D0199" w14:textId="77777777" w:rsidR="00374D49" w:rsidRDefault="00374D49">
      <w:pPr>
        <w:spacing w:after="200" w:line="276" w:lineRule="auto"/>
        <w:jc w:val="both"/>
        <w:rPr>
          <w:rFonts w:cs="Times New Roman"/>
          <w:i/>
          <w:sz w:val="16"/>
          <w:szCs w:val="16"/>
        </w:rPr>
      </w:pPr>
      <w:r>
        <w:rPr>
          <w:rFonts w:cs="Times New Roman"/>
          <w:i/>
          <w:sz w:val="16"/>
          <w:szCs w:val="16"/>
        </w:rPr>
        <w:t>Model estimate. Source: Method 2: Bayesian small-area estimation (SAE), 2026. CrI = credible interval; P(top 155) = share of 4,000 posterior draws in which the LGA ranks among the 155 highest-burden LGAs.</w:t>
      </w:r>
    </w:p>
    <w:p w14:paraId="19E30EE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Maternal care is the strongest and most certain predictor of differences between LGAs within a state: one standard deviation higher on the maternal-care index is associated with a log-odds change of -0.83 (95% credible interval -1.29 to -0.37), an odds ratio of 0.44. Improved water is also associated with lower zero-dose; the remaining effects are smaller and their intervals include zero. These are partial associations used to distribute survey levels within states, not causal effects.</w:t>
      </w:r>
    </w:p>
    <w:p w14:paraId="36C01A06"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621E6044" wp14:editId="425FFDE0">
            <wp:extent cx="5120640" cy="2468411"/>
            <wp:effectExtent l="0" t="0" r="0" b="0"/>
            <wp:docPr id="1964530411" name="Picture 196453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6_covariate_effects.png"/>
                    <pic:cNvPicPr/>
                  </pic:nvPicPr>
                  <pic:blipFill>
                    <a:blip r:embed="rId34"/>
                    <a:stretch>
                      <a:fillRect/>
                    </a:stretch>
                  </pic:blipFill>
                  <pic:spPr>
                    <a:xfrm>
                      <a:off x="0" y="0"/>
                      <a:ext cx="5120640" cy="2468411"/>
                    </a:xfrm>
                    <a:prstGeom prst="rect">
                      <a:avLst/>
                    </a:prstGeom>
                  </pic:spPr>
                </pic:pic>
              </a:graphicData>
            </a:graphic>
          </wp:inline>
        </w:drawing>
      </w:r>
    </w:p>
    <w:p w14:paraId="02B32B0E" w14:textId="77777777" w:rsidR="00B941FD" w:rsidRPr="00374D49" w:rsidRDefault="00B941FD" w:rsidP="00FD4A5B">
      <w:pPr>
        <w:pStyle w:val="MyFigures"/>
        <w:spacing w:line="276" w:lineRule="auto"/>
      </w:pPr>
      <w:bookmarkStart w:id="78" w:name="_Toc242408006"/>
      <w:r>
        <w:t>Figure 16e. Posterior covariate effects in the Bayesian small-area model (log-odds of zero-dose per standard deviation; 80% and 95% credible intervals).</w:t>
      </w:r>
      <w:bookmarkEnd w:id="78"/>
    </w:p>
    <w:p w14:paraId="2E876784"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model converged cleanly: maximum R-hat 1.003, minimum bulk effective sample size 2,549, minimum tail effective sample size 2,524 and no divergent transitions across 1,649 monitored parameters. Posterior predictive intervals contain 98% of the 148 NDHS state-round observations, and the 2026 state estimates rank the 37 states in close agreement with the NmDHS 2025-26, which was not used in fitting (ρ = 0.87; mean absolute error 5.9 percentage points; bias +0.1).</w:t>
      </w:r>
    </w:p>
    <w:p w14:paraId="1B9B0BF9"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779B46CC" wp14:editId="1AF80ACE">
            <wp:extent cx="5733288" cy="2088284"/>
            <wp:effectExtent l="0" t="0" r="0" b="0"/>
            <wp:docPr id="1964530412" name="Picture 196453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5_diagnostics.png"/>
                    <pic:cNvPicPr/>
                  </pic:nvPicPr>
                  <pic:blipFill>
                    <a:blip r:embed="rId35"/>
                    <a:stretch>
                      <a:fillRect/>
                    </a:stretch>
                  </pic:blipFill>
                  <pic:spPr>
                    <a:xfrm>
                      <a:off x="0" y="0"/>
                      <a:ext cx="5733288" cy="2088284"/>
                    </a:xfrm>
                    <a:prstGeom prst="rect">
                      <a:avLst/>
                    </a:prstGeom>
                  </pic:spPr>
                </pic:pic>
              </a:graphicData>
            </a:graphic>
          </wp:inline>
        </w:drawing>
      </w:r>
    </w:p>
    <w:p w14:paraId="262711D8" w14:textId="77777777" w:rsidR="00B941FD" w:rsidRPr="00374D49" w:rsidRDefault="00B941FD" w:rsidP="00FD4A5B">
      <w:pPr>
        <w:pStyle w:val="MyFigures"/>
        <w:spacing w:line="276" w:lineRule="auto"/>
      </w:pPr>
      <w:bookmarkStart w:id="79" w:name="_Toc242408007"/>
      <w:r>
        <w:t>Figure 16f. Method 2 model performance: fit to all NDHS rounds, independent NmDHS 2025-26 check, and Markov chain Monte Carlo diagnostics.</w:t>
      </w:r>
      <w:bookmarkEnd w:id="79"/>
    </w:p>
    <w:p w14:paraId="43E462C3"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Method 2 does not use routine administrative coverage. Dividing DHIS2 Penta1 doses by the estimated LGA cohort gives coverage above 100% in 81% of LGAs, and state zero-dose derived from routine data alone agrees poorly with the NmDHS 2025-26 (ρ = 0.18; mean absolute difference 27 percentage points). Routine data remain essential for tracking trends and data quality, but survey-anchored estimates are more reliable for the level of zero-dose in each LGA.</w:t>
      </w:r>
    </w:p>
    <w:p w14:paraId="2BAD9DC5"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38C33CB4" wp14:editId="34FCA440">
            <wp:extent cx="5733288" cy="2148694"/>
            <wp:effectExtent l="0" t="0" r="0" b="0"/>
            <wp:docPr id="1964530413" name="Picture 1964530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07_admin_vs_survey.png"/>
                    <pic:cNvPicPr/>
                  </pic:nvPicPr>
                  <pic:blipFill>
                    <a:blip r:embed="rId36"/>
                    <a:stretch>
                      <a:fillRect/>
                    </a:stretch>
                  </pic:blipFill>
                  <pic:spPr>
                    <a:xfrm>
                      <a:off x="0" y="0"/>
                      <a:ext cx="5733288" cy="2148694"/>
                    </a:xfrm>
                    <a:prstGeom prst="rect">
                      <a:avLst/>
                    </a:prstGeom>
                  </pic:spPr>
                </pic:pic>
              </a:graphicData>
            </a:graphic>
          </wp:inline>
        </w:drawing>
      </w:r>
    </w:p>
    <w:p w14:paraId="3E8A5A9E" w14:textId="77777777" w:rsidR="00B941FD" w:rsidRPr="00374D49" w:rsidRDefault="00B941FD" w:rsidP="00FD4A5B">
      <w:pPr>
        <w:pStyle w:val="MyFigures"/>
        <w:spacing w:line="276" w:lineRule="auto"/>
      </w:pPr>
      <w:bookmarkStart w:id="80" w:name="_Toc242408008"/>
      <w:r>
        <w:t>Figure 16g. Routine administrative Penta1 coverage compared with survey-anchored small-area estimates.</w:t>
      </w:r>
      <w:bookmarkEnd w:id="80"/>
    </w:p>
    <w:p w14:paraId="5CC3473F" w14:textId="77777777" w:rsidR="00374D49" w:rsidRDefault="00374D49">
      <w:pPr>
        <w:pStyle w:val="Heading2"/>
      </w:pPr>
      <w:bookmarkStart w:id="81" w:name="_Toc242407928"/>
      <w:r>
        <w:t>5.5.5 Comparison of Method 1 and Method 2</w:t>
      </w:r>
      <w:bookmarkEnd w:id="81"/>
    </w:p>
    <w:p w14:paraId="4A9132A6"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The two methods agree closely on national, zone and state totals. Nationally they differ by 2.4% (2.10 and 2.15 million), the 95% intervals overlap in every zone, and both place about half of all zero-dose children in the North-West. Across the 37 states, the rank correlation of modelled zero-dose children between methods is ρ = 0.96.</w:t>
      </w:r>
    </w:p>
    <w:p w14:paraId="3F50E053" w14:textId="77777777" w:rsidR="003D146D" w:rsidRPr="00374D49" w:rsidRDefault="003D146D" w:rsidP="00FD4A5B">
      <w:pPr>
        <w:pStyle w:val="MyTables"/>
        <w:keepNext/>
        <w:spacing w:line="276" w:lineRule="auto"/>
      </w:pPr>
      <w:bookmarkStart w:id="82" w:name="_Toc242407972"/>
      <w:r>
        <w:t>Table 6e. Modelled zero-dose children in 2026 by zone, Method 1 and Method 2.</w:t>
      </w:r>
      <w:bookmarkEnd w:id="82"/>
    </w:p>
    <w:tbl>
      <w:tblPr>
        <w:tblStyle w:val="PlainTable5"/>
        <w:tblW w:w="9028" w:type="dxa"/>
        <w:tblLook w:val="0420" w:firstRow="1" w:lastRow="0" w:firstColumn="0" w:lastColumn="0" w:noHBand="0" w:noVBand="1"/>
      </w:tblPr>
      <w:tblGrid>
        <w:gridCol w:w="1361"/>
        <w:gridCol w:w="864"/>
        <w:gridCol w:w="1932"/>
        <w:gridCol w:w="717"/>
        <w:gridCol w:w="1932"/>
        <w:gridCol w:w="717"/>
        <w:gridCol w:w="720"/>
        <w:gridCol w:w="785"/>
      </w:tblGrid>
      <w:tr w:rsidR="00374D49" w14:paraId="7E2DCA46" w14:textId="77777777">
        <w:trPr>
          <w:cnfStyle w:val="100000000000" w:firstRow="1" w:lastRow="0" w:firstColumn="0" w:lastColumn="0" w:oddVBand="0" w:evenVBand="0" w:oddHBand="0" w:evenHBand="0" w:firstRowFirstColumn="0" w:firstRowLastColumn="0" w:lastRowFirstColumn="0" w:lastRowLastColumn="0"/>
          <w:cantSplit/>
          <w:tblHeader/>
        </w:trPr>
        <w:tc>
          <w:tcPr>
            <w:tcW w:w="1368" w:type="dxa"/>
            <w:vAlign w:val="center"/>
          </w:tcPr>
          <w:p w14:paraId="1CBA97B6" w14:textId="77777777" w:rsidR="00374D49" w:rsidRDefault="00374D49">
            <w:pPr>
              <w:keepNext/>
              <w:rPr>
                <w:rFonts w:cs="Times New Roman"/>
                <w:b/>
                <w:sz w:val="16"/>
                <w:szCs w:val="16"/>
              </w:rPr>
            </w:pPr>
            <w:r>
              <w:rPr>
                <w:rFonts w:cs="Times New Roman"/>
                <w:b/>
                <w:sz w:val="16"/>
                <w:szCs w:val="16"/>
              </w:rPr>
              <w:t>Zone</w:t>
            </w:r>
          </w:p>
        </w:tc>
        <w:tc>
          <w:tcPr>
            <w:tcW w:w="864" w:type="dxa"/>
            <w:vAlign w:val="center"/>
          </w:tcPr>
          <w:p w14:paraId="3D5AE680" w14:textId="77777777" w:rsidR="00374D49" w:rsidRDefault="00374D49">
            <w:pPr>
              <w:keepNext/>
              <w:rPr>
                <w:rFonts w:cs="Times New Roman"/>
                <w:b/>
                <w:sz w:val="16"/>
                <w:szCs w:val="16"/>
              </w:rPr>
            </w:pPr>
            <w:r>
              <w:rPr>
                <w:rFonts w:cs="Times New Roman"/>
                <w:b/>
                <w:sz w:val="16"/>
                <w:szCs w:val="16"/>
              </w:rPr>
              <w:t>LGAs (M1/M2)</w:t>
            </w:r>
          </w:p>
        </w:tc>
        <w:tc>
          <w:tcPr>
            <w:tcW w:w="1944" w:type="dxa"/>
            <w:vAlign w:val="center"/>
          </w:tcPr>
          <w:p w14:paraId="63499DFB" w14:textId="77777777" w:rsidR="00374D49" w:rsidRDefault="00374D49">
            <w:pPr>
              <w:keepNext/>
              <w:rPr>
                <w:rFonts w:cs="Times New Roman"/>
                <w:b/>
                <w:sz w:val="16"/>
                <w:szCs w:val="16"/>
              </w:rPr>
            </w:pPr>
            <w:r>
              <w:rPr>
                <w:rFonts w:cs="Times New Roman"/>
                <w:b/>
                <w:sz w:val="16"/>
                <w:szCs w:val="16"/>
              </w:rPr>
              <w:t>Method 1 zero-dose children (95% interval)</w:t>
            </w:r>
          </w:p>
        </w:tc>
        <w:tc>
          <w:tcPr>
            <w:tcW w:w="720" w:type="dxa"/>
            <w:vAlign w:val="center"/>
          </w:tcPr>
          <w:p w14:paraId="1A3E8C17" w14:textId="77777777" w:rsidR="00374D49" w:rsidRDefault="00374D49">
            <w:pPr>
              <w:keepNext/>
              <w:rPr>
                <w:rFonts w:cs="Times New Roman"/>
                <w:b/>
                <w:sz w:val="16"/>
                <w:szCs w:val="16"/>
              </w:rPr>
            </w:pPr>
            <w:r>
              <w:rPr>
                <w:rFonts w:cs="Times New Roman"/>
                <w:b/>
                <w:sz w:val="16"/>
                <w:szCs w:val="16"/>
              </w:rPr>
              <w:t>M1 rate %</w:t>
            </w:r>
          </w:p>
        </w:tc>
        <w:tc>
          <w:tcPr>
            <w:tcW w:w="1944" w:type="dxa"/>
            <w:vAlign w:val="center"/>
          </w:tcPr>
          <w:p w14:paraId="6C910307" w14:textId="77777777" w:rsidR="00374D49" w:rsidRDefault="00374D49">
            <w:pPr>
              <w:keepNext/>
              <w:rPr>
                <w:rFonts w:cs="Times New Roman"/>
                <w:b/>
                <w:sz w:val="16"/>
                <w:szCs w:val="16"/>
              </w:rPr>
            </w:pPr>
            <w:r>
              <w:rPr>
                <w:rFonts w:cs="Times New Roman"/>
                <w:b/>
                <w:sz w:val="16"/>
                <w:szCs w:val="16"/>
              </w:rPr>
              <w:t>Method 2 zero-dose children (95% CrI)</w:t>
            </w:r>
          </w:p>
        </w:tc>
        <w:tc>
          <w:tcPr>
            <w:tcW w:w="720" w:type="dxa"/>
            <w:vAlign w:val="center"/>
          </w:tcPr>
          <w:p w14:paraId="122E17FC" w14:textId="77777777" w:rsidR="00374D49" w:rsidRDefault="00374D49">
            <w:pPr>
              <w:keepNext/>
              <w:rPr>
                <w:rFonts w:cs="Times New Roman"/>
                <w:b/>
                <w:sz w:val="16"/>
                <w:szCs w:val="16"/>
              </w:rPr>
            </w:pPr>
            <w:r>
              <w:rPr>
                <w:rFonts w:cs="Times New Roman"/>
                <w:b/>
                <w:sz w:val="16"/>
                <w:szCs w:val="16"/>
              </w:rPr>
              <w:t>M2 rate %</w:t>
            </w:r>
          </w:p>
        </w:tc>
        <w:tc>
          <w:tcPr>
            <w:tcW w:w="720" w:type="dxa"/>
            <w:vAlign w:val="center"/>
          </w:tcPr>
          <w:p w14:paraId="0D5ADC84" w14:textId="77777777" w:rsidR="00374D49" w:rsidRDefault="00374D49">
            <w:pPr>
              <w:keepNext/>
              <w:rPr>
                <w:rFonts w:cs="Times New Roman"/>
                <w:b/>
                <w:sz w:val="16"/>
                <w:szCs w:val="16"/>
              </w:rPr>
            </w:pPr>
            <w:r>
              <w:rPr>
                <w:rFonts w:cs="Times New Roman"/>
                <w:b/>
                <w:sz w:val="16"/>
                <w:szCs w:val="16"/>
              </w:rPr>
              <w:t>M2 vs M1</w:t>
            </w:r>
          </w:p>
        </w:tc>
        <w:tc>
          <w:tcPr>
            <w:tcW w:w="748" w:type="dxa"/>
            <w:vAlign w:val="center"/>
          </w:tcPr>
          <w:p w14:paraId="71CA6FBE" w14:textId="77777777" w:rsidR="00374D49" w:rsidRDefault="00374D49">
            <w:pPr>
              <w:keepNext/>
              <w:rPr>
                <w:rFonts w:cs="Times New Roman"/>
                <w:b/>
                <w:sz w:val="16"/>
                <w:szCs w:val="16"/>
              </w:rPr>
            </w:pPr>
            <w:r>
              <w:rPr>
                <w:rFonts w:cs="Times New Roman"/>
                <w:b/>
                <w:sz w:val="16"/>
                <w:szCs w:val="16"/>
              </w:rPr>
              <w:t>NmDHS 2025-26 %</w:t>
            </w:r>
          </w:p>
        </w:tc>
      </w:tr>
      <w:tr w:rsidR="00374D49" w14:paraId="16D54B5C"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DB5E22E" w14:textId="77777777" w:rsidR="00374D49" w:rsidRDefault="00374D49">
            <w:pPr>
              <w:keepNext/>
              <w:rPr>
                <w:rFonts w:cs="Times New Roman"/>
                <w:sz w:val="16"/>
                <w:szCs w:val="16"/>
              </w:rPr>
            </w:pPr>
            <w:r>
              <w:rPr>
                <w:rFonts w:cs="Times New Roman"/>
                <w:sz w:val="16"/>
                <w:szCs w:val="16"/>
              </w:rPr>
              <w:t>North West</w:t>
            </w:r>
          </w:p>
        </w:tc>
        <w:tc>
          <w:tcPr>
            <w:tcW w:w="864" w:type="dxa"/>
            <w:vAlign w:val="center"/>
          </w:tcPr>
          <w:p w14:paraId="05B2D735" w14:textId="77777777" w:rsidR="00374D49" w:rsidRDefault="00374D49">
            <w:pPr>
              <w:keepNext/>
              <w:rPr>
                <w:rFonts w:cs="Times New Roman"/>
                <w:sz w:val="16"/>
                <w:szCs w:val="16"/>
              </w:rPr>
            </w:pPr>
            <w:r>
              <w:rPr>
                <w:rFonts w:cs="Times New Roman"/>
                <w:sz w:val="16"/>
                <w:szCs w:val="16"/>
              </w:rPr>
              <w:t>186/186</w:t>
            </w:r>
          </w:p>
        </w:tc>
        <w:tc>
          <w:tcPr>
            <w:tcW w:w="1944" w:type="dxa"/>
            <w:vAlign w:val="center"/>
          </w:tcPr>
          <w:p w14:paraId="38F6AD39" w14:textId="77777777" w:rsidR="00374D49" w:rsidRDefault="00374D49">
            <w:pPr>
              <w:keepNext/>
              <w:rPr>
                <w:rFonts w:cs="Times New Roman"/>
                <w:sz w:val="16"/>
                <w:szCs w:val="16"/>
              </w:rPr>
            </w:pPr>
            <w:r>
              <w:rPr>
                <w:rFonts w:cs="Times New Roman"/>
                <w:sz w:val="16"/>
                <w:szCs w:val="16"/>
              </w:rPr>
              <w:t>1,084,155 (961,608-1,201,516)</w:t>
            </w:r>
          </w:p>
        </w:tc>
        <w:tc>
          <w:tcPr>
            <w:tcW w:w="720" w:type="dxa"/>
            <w:vAlign w:val="center"/>
          </w:tcPr>
          <w:p w14:paraId="6A603A8C" w14:textId="77777777" w:rsidR="00374D49" w:rsidRDefault="00374D49">
            <w:pPr>
              <w:keepNext/>
              <w:rPr>
                <w:rFonts w:cs="Times New Roman"/>
                <w:sz w:val="16"/>
                <w:szCs w:val="16"/>
              </w:rPr>
            </w:pPr>
            <w:r>
              <w:rPr>
                <w:rFonts w:cs="Times New Roman"/>
                <w:sz w:val="16"/>
                <w:szCs w:val="16"/>
              </w:rPr>
              <w:t>47.8</w:t>
            </w:r>
          </w:p>
        </w:tc>
        <w:tc>
          <w:tcPr>
            <w:tcW w:w="1944" w:type="dxa"/>
            <w:vAlign w:val="center"/>
          </w:tcPr>
          <w:p w14:paraId="08B2FAB5" w14:textId="77777777" w:rsidR="00374D49" w:rsidRDefault="00374D49">
            <w:pPr>
              <w:keepNext/>
              <w:rPr>
                <w:rFonts w:cs="Times New Roman"/>
                <w:sz w:val="16"/>
                <w:szCs w:val="16"/>
              </w:rPr>
            </w:pPr>
            <w:r>
              <w:rPr>
                <w:rFonts w:cs="Times New Roman"/>
                <w:sz w:val="16"/>
                <w:szCs w:val="16"/>
              </w:rPr>
              <w:t>1,149,017 (923,311-1,371,914)</w:t>
            </w:r>
          </w:p>
        </w:tc>
        <w:tc>
          <w:tcPr>
            <w:tcW w:w="720" w:type="dxa"/>
            <w:vAlign w:val="center"/>
          </w:tcPr>
          <w:p w14:paraId="5548B02B" w14:textId="77777777" w:rsidR="00374D49" w:rsidRDefault="00374D49">
            <w:pPr>
              <w:keepNext/>
              <w:rPr>
                <w:rFonts w:cs="Times New Roman"/>
                <w:sz w:val="16"/>
                <w:szCs w:val="16"/>
              </w:rPr>
            </w:pPr>
            <w:r>
              <w:rPr>
                <w:rFonts w:cs="Times New Roman"/>
                <w:sz w:val="16"/>
                <w:szCs w:val="16"/>
              </w:rPr>
              <w:t>50.6</w:t>
            </w:r>
          </w:p>
        </w:tc>
        <w:tc>
          <w:tcPr>
            <w:tcW w:w="720" w:type="dxa"/>
            <w:vAlign w:val="center"/>
          </w:tcPr>
          <w:p w14:paraId="609B4739" w14:textId="77777777" w:rsidR="00374D49" w:rsidRDefault="00374D49">
            <w:pPr>
              <w:keepNext/>
              <w:rPr>
                <w:rFonts w:cs="Times New Roman"/>
                <w:sz w:val="16"/>
                <w:szCs w:val="16"/>
              </w:rPr>
            </w:pPr>
            <w:r>
              <w:rPr>
                <w:rFonts w:cs="Times New Roman"/>
                <w:sz w:val="16"/>
                <w:szCs w:val="16"/>
              </w:rPr>
              <w:t>+6.0%</w:t>
            </w:r>
          </w:p>
        </w:tc>
        <w:tc>
          <w:tcPr>
            <w:tcW w:w="748" w:type="dxa"/>
            <w:vAlign w:val="center"/>
          </w:tcPr>
          <w:p w14:paraId="40083B3C" w14:textId="77777777" w:rsidR="00374D49" w:rsidRDefault="00374D49">
            <w:pPr>
              <w:keepNext/>
              <w:rPr>
                <w:rFonts w:cs="Times New Roman"/>
                <w:sz w:val="16"/>
                <w:szCs w:val="16"/>
              </w:rPr>
            </w:pPr>
            <w:r>
              <w:rPr>
                <w:rFonts w:cs="Times New Roman"/>
                <w:sz w:val="16"/>
                <w:szCs w:val="16"/>
              </w:rPr>
              <w:t>48.7</w:t>
            </w:r>
          </w:p>
        </w:tc>
      </w:tr>
      <w:tr w:rsidR="00374D49" w14:paraId="178AEC5F" w14:textId="77777777">
        <w:trPr>
          <w:cantSplit/>
        </w:trPr>
        <w:tc>
          <w:tcPr>
            <w:tcW w:w="1368" w:type="dxa"/>
            <w:vAlign w:val="center"/>
          </w:tcPr>
          <w:p w14:paraId="0FB8C4BE" w14:textId="77777777" w:rsidR="00374D49" w:rsidRDefault="00374D49">
            <w:pPr>
              <w:keepNext/>
              <w:rPr>
                <w:rFonts w:cs="Times New Roman"/>
                <w:sz w:val="16"/>
                <w:szCs w:val="16"/>
              </w:rPr>
            </w:pPr>
            <w:r>
              <w:rPr>
                <w:rFonts w:cs="Times New Roman"/>
                <w:sz w:val="16"/>
                <w:szCs w:val="16"/>
              </w:rPr>
              <w:t>North East</w:t>
            </w:r>
          </w:p>
        </w:tc>
        <w:tc>
          <w:tcPr>
            <w:tcW w:w="864" w:type="dxa"/>
            <w:vAlign w:val="center"/>
          </w:tcPr>
          <w:p w14:paraId="3E6068F7" w14:textId="77777777" w:rsidR="00374D49" w:rsidRDefault="00374D49">
            <w:pPr>
              <w:keepNext/>
              <w:rPr>
                <w:rFonts w:cs="Times New Roman"/>
                <w:sz w:val="16"/>
                <w:szCs w:val="16"/>
              </w:rPr>
            </w:pPr>
            <w:r>
              <w:rPr>
                <w:rFonts w:cs="Times New Roman"/>
                <w:sz w:val="16"/>
                <w:szCs w:val="16"/>
              </w:rPr>
              <w:t>111/112</w:t>
            </w:r>
          </w:p>
        </w:tc>
        <w:tc>
          <w:tcPr>
            <w:tcW w:w="1944" w:type="dxa"/>
            <w:vAlign w:val="center"/>
          </w:tcPr>
          <w:p w14:paraId="13A7B190" w14:textId="77777777" w:rsidR="00374D49" w:rsidRDefault="00374D49">
            <w:pPr>
              <w:keepNext/>
              <w:rPr>
                <w:rFonts w:cs="Times New Roman"/>
                <w:sz w:val="16"/>
                <w:szCs w:val="16"/>
              </w:rPr>
            </w:pPr>
            <w:r>
              <w:rPr>
                <w:rFonts w:cs="Times New Roman"/>
                <w:sz w:val="16"/>
                <w:szCs w:val="16"/>
              </w:rPr>
              <w:t>336,687 (255,921-417,822)</w:t>
            </w:r>
          </w:p>
        </w:tc>
        <w:tc>
          <w:tcPr>
            <w:tcW w:w="720" w:type="dxa"/>
            <w:vAlign w:val="center"/>
          </w:tcPr>
          <w:p w14:paraId="23538F05" w14:textId="77777777" w:rsidR="00374D49" w:rsidRDefault="00374D49">
            <w:pPr>
              <w:keepNext/>
              <w:rPr>
                <w:rFonts w:cs="Times New Roman"/>
                <w:sz w:val="16"/>
                <w:szCs w:val="16"/>
              </w:rPr>
            </w:pPr>
            <w:r>
              <w:rPr>
                <w:rFonts w:cs="Times New Roman"/>
                <w:sz w:val="16"/>
                <w:szCs w:val="16"/>
              </w:rPr>
              <w:t>31.4</w:t>
            </w:r>
          </w:p>
        </w:tc>
        <w:tc>
          <w:tcPr>
            <w:tcW w:w="1944" w:type="dxa"/>
            <w:vAlign w:val="center"/>
          </w:tcPr>
          <w:p w14:paraId="57A28503" w14:textId="77777777" w:rsidR="00374D49" w:rsidRDefault="00374D49">
            <w:pPr>
              <w:keepNext/>
              <w:rPr>
                <w:rFonts w:cs="Times New Roman"/>
                <w:sz w:val="16"/>
                <w:szCs w:val="16"/>
              </w:rPr>
            </w:pPr>
            <w:r>
              <w:rPr>
                <w:rFonts w:cs="Times New Roman"/>
                <w:sz w:val="16"/>
                <w:szCs w:val="16"/>
              </w:rPr>
              <w:t>372,892 (265,189-495,882)</w:t>
            </w:r>
          </w:p>
        </w:tc>
        <w:tc>
          <w:tcPr>
            <w:tcW w:w="720" w:type="dxa"/>
            <w:vAlign w:val="center"/>
          </w:tcPr>
          <w:p w14:paraId="10D5A7E6" w14:textId="77777777" w:rsidR="00374D49" w:rsidRDefault="00374D49">
            <w:pPr>
              <w:keepNext/>
              <w:rPr>
                <w:rFonts w:cs="Times New Roman"/>
                <w:sz w:val="16"/>
                <w:szCs w:val="16"/>
              </w:rPr>
            </w:pPr>
            <w:r>
              <w:rPr>
                <w:rFonts w:cs="Times New Roman"/>
                <w:sz w:val="16"/>
                <w:szCs w:val="16"/>
              </w:rPr>
              <w:t>34.7</w:t>
            </w:r>
          </w:p>
        </w:tc>
        <w:tc>
          <w:tcPr>
            <w:tcW w:w="720" w:type="dxa"/>
            <w:vAlign w:val="center"/>
          </w:tcPr>
          <w:p w14:paraId="6F96D3EE" w14:textId="77777777" w:rsidR="00374D49" w:rsidRDefault="00374D49">
            <w:pPr>
              <w:keepNext/>
              <w:rPr>
                <w:rFonts w:cs="Times New Roman"/>
                <w:sz w:val="16"/>
                <w:szCs w:val="16"/>
              </w:rPr>
            </w:pPr>
            <w:r>
              <w:rPr>
                <w:rFonts w:cs="Times New Roman"/>
                <w:sz w:val="16"/>
                <w:szCs w:val="16"/>
              </w:rPr>
              <w:t>+10.8%</w:t>
            </w:r>
          </w:p>
        </w:tc>
        <w:tc>
          <w:tcPr>
            <w:tcW w:w="748" w:type="dxa"/>
            <w:vAlign w:val="center"/>
          </w:tcPr>
          <w:p w14:paraId="084D4634" w14:textId="77777777" w:rsidR="00374D49" w:rsidRDefault="00374D49">
            <w:pPr>
              <w:keepNext/>
              <w:rPr>
                <w:rFonts w:cs="Times New Roman"/>
                <w:sz w:val="16"/>
                <w:szCs w:val="16"/>
              </w:rPr>
            </w:pPr>
            <w:r>
              <w:rPr>
                <w:rFonts w:cs="Times New Roman"/>
                <w:sz w:val="16"/>
                <w:szCs w:val="16"/>
              </w:rPr>
              <w:t>38.7</w:t>
            </w:r>
          </w:p>
        </w:tc>
      </w:tr>
      <w:tr w:rsidR="00374D49" w14:paraId="05D58E94"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479AA3D2" w14:textId="77777777" w:rsidR="00374D49" w:rsidRDefault="00374D49">
            <w:pPr>
              <w:keepNext/>
              <w:rPr>
                <w:rFonts w:cs="Times New Roman"/>
                <w:sz w:val="16"/>
                <w:szCs w:val="16"/>
              </w:rPr>
            </w:pPr>
            <w:r>
              <w:rPr>
                <w:rFonts w:cs="Times New Roman"/>
                <w:sz w:val="16"/>
                <w:szCs w:val="16"/>
              </w:rPr>
              <w:t>North Central</w:t>
            </w:r>
          </w:p>
        </w:tc>
        <w:tc>
          <w:tcPr>
            <w:tcW w:w="864" w:type="dxa"/>
            <w:vAlign w:val="center"/>
          </w:tcPr>
          <w:p w14:paraId="128B88AE" w14:textId="77777777" w:rsidR="00374D49" w:rsidRDefault="00374D49">
            <w:pPr>
              <w:keepNext/>
              <w:rPr>
                <w:rFonts w:cs="Times New Roman"/>
                <w:sz w:val="16"/>
                <w:szCs w:val="16"/>
              </w:rPr>
            </w:pPr>
            <w:r>
              <w:rPr>
                <w:rFonts w:cs="Times New Roman"/>
                <w:sz w:val="16"/>
                <w:szCs w:val="16"/>
              </w:rPr>
              <w:t>121/121</w:t>
            </w:r>
          </w:p>
        </w:tc>
        <w:tc>
          <w:tcPr>
            <w:tcW w:w="1944" w:type="dxa"/>
            <w:vAlign w:val="center"/>
          </w:tcPr>
          <w:p w14:paraId="0E074970" w14:textId="77777777" w:rsidR="00374D49" w:rsidRDefault="00374D49">
            <w:pPr>
              <w:keepNext/>
              <w:rPr>
                <w:rFonts w:cs="Times New Roman"/>
                <w:sz w:val="16"/>
                <w:szCs w:val="16"/>
              </w:rPr>
            </w:pPr>
            <w:r>
              <w:rPr>
                <w:rFonts w:cs="Times New Roman"/>
                <w:sz w:val="16"/>
                <w:szCs w:val="16"/>
              </w:rPr>
              <w:t>343,731 (262,802-433,604)</w:t>
            </w:r>
          </w:p>
        </w:tc>
        <w:tc>
          <w:tcPr>
            <w:tcW w:w="720" w:type="dxa"/>
            <w:vAlign w:val="center"/>
          </w:tcPr>
          <w:p w14:paraId="48991971" w14:textId="77777777" w:rsidR="00374D49" w:rsidRDefault="00374D49">
            <w:pPr>
              <w:keepNext/>
              <w:rPr>
                <w:rFonts w:cs="Times New Roman"/>
                <w:sz w:val="16"/>
                <w:szCs w:val="16"/>
              </w:rPr>
            </w:pPr>
            <w:r>
              <w:rPr>
                <w:rFonts w:cs="Times New Roman"/>
                <w:sz w:val="16"/>
                <w:szCs w:val="16"/>
              </w:rPr>
              <w:t>33.1</w:t>
            </w:r>
          </w:p>
        </w:tc>
        <w:tc>
          <w:tcPr>
            <w:tcW w:w="1944" w:type="dxa"/>
            <w:vAlign w:val="center"/>
          </w:tcPr>
          <w:p w14:paraId="3471D007" w14:textId="77777777" w:rsidR="00374D49" w:rsidRDefault="00374D49">
            <w:pPr>
              <w:keepNext/>
              <w:rPr>
                <w:rFonts w:cs="Times New Roman"/>
                <w:sz w:val="16"/>
                <w:szCs w:val="16"/>
              </w:rPr>
            </w:pPr>
            <w:r>
              <w:rPr>
                <w:rFonts w:cs="Times New Roman"/>
                <w:sz w:val="16"/>
                <w:szCs w:val="16"/>
              </w:rPr>
              <w:t>324,138 (228,447-421,964)</w:t>
            </w:r>
          </w:p>
        </w:tc>
        <w:tc>
          <w:tcPr>
            <w:tcW w:w="720" w:type="dxa"/>
            <w:vAlign w:val="center"/>
          </w:tcPr>
          <w:p w14:paraId="0D467D6E" w14:textId="77777777" w:rsidR="00374D49" w:rsidRDefault="00374D49">
            <w:pPr>
              <w:keepNext/>
              <w:rPr>
                <w:rFonts w:cs="Times New Roman"/>
                <w:sz w:val="16"/>
                <w:szCs w:val="16"/>
              </w:rPr>
            </w:pPr>
            <w:r>
              <w:rPr>
                <w:rFonts w:cs="Times New Roman"/>
                <w:sz w:val="16"/>
                <w:szCs w:val="16"/>
              </w:rPr>
              <w:t>31.2</w:t>
            </w:r>
          </w:p>
        </w:tc>
        <w:tc>
          <w:tcPr>
            <w:tcW w:w="720" w:type="dxa"/>
            <w:vAlign w:val="center"/>
          </w:tcPr>
          <w:p w14:paraId="6446931D" w14:textId="77777777" w:rsidR="00374D49" w:rsidRDefault="00374D49">
            <w:pPr>
              <w:keepNext/>
              <w:rPr>
                <w:rFonts w:cs="Times New Roman"/>
                <w:sz w:val="16"/>
                <w:szCs w:val="16"/>
              </w:rPr>
            </w:pPr>
            <w:r>
              <w:rPr>
                <w:rFonts w:cs="Times New Roman"/>
                <w:sz w:val="16"/>
                <w:szCs w:val="16"/>
              </w:rPr>
              <w:t>-5.7%</w:t>
            </w:r>
          </w:p>
        </w:tc>
        <w:tc>
          <w:tcPr>
            <w:tcW w:w="748" w:type="dxa"/>
            <w:vAlign w:val="center"/>
          </w:tcPr>
          <w:p w14:paraId="0286BB8C" w14:textId="77777777" w:rsidR="00374D49" w:rsidRDefault="00374D49">
            <w:pPr>
              <w:keepNext/>
              <w:rPr>
                <w:rFonts w:cs="Times New Roman"/>
                <w:sz w:val="16"/>
                <w:szCs w:val="16"/>
              </w:rPr>
            </w:pPr>
            <w:r>
              <w:rPr>
                <w:rFonts w:cs="Times New Roman"/>
                <w:sz w:val="16"/>
                <w:szCs w:val="16"/>
              </w:rPr>
              <w:t>34.2</w:t>
            </w:r>
          </w:p>
        </w:tc>
      </w:tr>
      <w:tr w:rsidR="00374D49" w14:paraId="453C4E46" w14:textId="77777777">
        <w:trPr>
          <w:cantSplit/>
        </w:trPr>
        <w:tc>
          <w:tcPr>
            <w:tcW w:w="1368" w:type="dxa"/>
            <w:vAlign w:val="center"/>
          </w:tcPr>
          <w:p w14:paraId="6CCB7764" w14:textId="77777777" w:rsidR="00374D49" w:rsidRDefault="00374D49">
            <w:pPr>
              <w:keepNext/>
              <w:rPr>
                <w:rFonts w:cs="Times New Roman"/>
                <w:sz w:val="16"/>
                <w:szCs w:val="16"/>
              </w:rPr>
            </w:pPr>
            <w:r>
              <w:rPr>
                <w:rFonts w:cs="Times New Roman"/>
                <w:sz w:val="16"/>
                <w:szCs w:val="16"/>
              </w:rPr>
              <w:t>South West</w:t>
            </w:r>
          </w:p>
        </w:tc>
        <w:tc>
          <w:tcPr>
            <w:tcW w:w="864" w:type="dxa"/>
            <w:vAlign w:val="center"/>
          </w:tcPr>
          <w:p w14:paraId="54B02DEE" w14:textId="77777777" w:rsidR="00374D49" w:rsidRDefault="00374D49">
            <w:pPr>
              <w:keepNext/>
              <w:rPr>
                <w:rFonts w:cs="Times New Roman"/>
                <w:sz w:val="16"/>
                <w:szCs w:val="16"/>
              </w:rPr>
            </w:pPr>
            <w:r>
              <w:rPr>
                <w:rFonts w:cs="Times New Roman"/>
                <w:sz w:val="16"/>
                <w:szCs w:val="16"/>
              </w:rPr>
              <w:t>137/137</w:t>
            </w:r>
          </w:p>
        </w:tc>
        <w:tc>
          <w:tcPr>
            <w:tcW w:w="1944" w:type="dxa"/>
            <w:vAlign w:val="center"/>
          </w:tcPr>
          <w:p w14:paraId="05DEE2B3" w14:textId="77777777" w:rsidR="00374D49" w:rsidRDefault="00374D49">
            <w:pPr>
              <w:keepNext/>
              <w:rPr>
                <w:rFonts w:cs="Times New Roman"/>
                <w:sz w:val="16"/>
                <w:szCs w:val="16"/>
              </w:rPr>
            </w:pPr>
            <w:r>
              <w:rPr>
                <w:rFonts w:cs="Times New Roman"/>
                <w:sz w:val="16"/>
                <w:szCs w:val="16"/>
              </w:rPr>
              <w:t>154,451 (97,752-231,362)</w:t>
            </w:r>
          </w:p>
        </w:tc>
        <w:tc>
          <w:tcPr>
            <w:tcW w:w="720" w:type="dxa"/>
            <w:vAlign w:val="center"/>
          </w:tcPr>
          <w:p w14:paraId="52AB9B55" w14:textId="77777777" w:rsidR="00374D49" w:rsidRDefault="00374D49">
            <w:pPr>
              <w:keepNext/>
              <w:rPr>
                <w:rFonts w:cs="Times New Roman"/>
                <w:sz w:val="16"/>
                <w:szCs w:val="16"/>
              </w:rPr>
            </w:pPr>
            <w:r>
              <w:rPr>
                <w:rFonts w:cs="Times New Roman"/>
                <w:sz w:val="16"/>
                <w:szCs w:val="16"/>
              </w:rPr>
              <w:t>14.5</w:t>
            </w:r>
          </w:p>
        </w:tc>
        <w:tc>
          <w:tcPr>
            <w:tcW w:w="1944" w:type="dxa"/>
            <w:vAlign w:val="center"/>
          </w:tcPr>
          <w:p w14:paraId="1C72EF76" w14:textId="77777777" w:rsidR="00374D49" w:rsidRDefault="00374D49">
            <w:pPr>
              <w:keepNext/>
              <w:rPr>
                <w:rFonts w:cs="Times New Roman"/>
                <w:sz w:val="16"/>
                <w:szCs w:val="16"/>
              </w:rPr>
            </w:pPr>
            <w:r>
              <w:rPr>
                <w:rFonts w:cs="Times New Roman"/>
                <w:sz w:val="16"/>
                <w:szCs w:val="16"/>
              </w:rPr>
              <w:t>141,155 (86,336-210,104)</w:t>
            </w:r>
          </w:p>
        </w:tc>
        <w:tc>
          <w:tcPr>
            <w:tcW w:w="720" w:type="dxa"/>
            <w:vAlign w:val="center"/>
          </w:tcPr>
          <w:p w14:paraId="005944B5" w14:textId="77777777" w:rsidR="00374D49" w:rsidRDefault="00374D49">
            <w:pPr>
              <w:keepNext/>
              <w:rPr>
                <w:rFonts w:cs="Times New Roman"/>
                <w:sz w:val="16"/>
                <w:szCs w:val="16"/>
              </w:rPr>
            </w:pPr>
            <w:r>
              <w:rPr>
                <w:rFonts w:cs="Times New Roman"/>
                <w:sz w:val="16"/>
                <w:szCs w:val="16"/>
              </w:rPr>
              <w:t>13.2</w:t>
            </w:r>
          </w:p>
        </w:tc>
        <w:tc>
          <w:tcPr>
            <w:tcW w:w="720" w:type="dxa"/>
            <w:vAlign w:val="center"/>
          </w:tcPr>
          <w:p w14:paraId="7BAD8820" w14:textId="77777777" w:rsidR="00374D49" w:rsidRDefault="00374D49">
            <w:pPr>
              <w:keepNext/>
              <w:rPr>
                <w:rFonts w:cs="Times New Roman"/>
                <w:sz w:val="16"/>
                <w:szCs w:val="16"/>
              </w:rPr>
            </w:pPr>
            <w:r>
              <w:rPr>
                <w:rFonts w:cs="Times New Roman"/>
                <w:sz w:val="16"/>
                <w:szCs w:val="16"/>
              </w:rPr>
              <w:t>-8.6%</w:t>
            </w:r>
          </w:p>
        </w:tc>
        <w:tc>
          <w:tcPr>
            <w:tcW w:w="748" w:type="dxa"/>
            <w:vAlign w:val="center"/>
          </w:tcPr>
          <w:p w14:paraId="4B4C328E" w14:textId="77777777" w:rsidR="00374D49" w:rsidRDefault="00374D49">
            <w:pPr>
              <w:keepNext/>
              <w:rPr>
                <w:rFonts w:cs="Times New Roman"/>
                <w:sz w:val="16"/>
                <w:szCs w:val="16"/>
              </w:rPr>
            </w:pPr>
            <w:r>
              <w:rPr>
                <w:rFonts w:cs="Times New Roman"/>
                <w:sz w:val="16"/>
                <w:szCs w:val="16"/>
              </w:rPr>
              <w:t>14.4</w:t>
            </w:r>
          </w:p>
        </w:tc>
      </w:tr>
      <w:tr w:rsidR="00374D49" w14:paraId="2F7A2AAB"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3593A15B" w14:textId="77777777" w:rsidR="00374D49" w:rsidRDefault="00374D49">
            <w:pPr>
              <w:keepNext/>
              <w:rPr>
                <w:rFonts w:cs="Times New Roman"/>
                <w:sz w:val="16"/>
                <w:szCs w:val="16"/>
              </w:rPr>
            </w:pPr>
            <w:r>
              <w:rPr>
                <w:rFonts w:cs="Times New Roman"/>
                <w:sz w:val="16"/>
                <w:szCs w:val="16"/>
              </w:rPr>
              <w:t>South South</w:t>
            </w:r>
          </w:p>
        </w:tc>
        <w:tc>
          <w:tcPr>
            <w:tcW w:w="864" w:type="dxa"/>
            <w:vAlign w:val="center"/>
          </w:tcPr>
          <w:p w14:paraId="7BA1F64C" w14:textId="77777777" w:rsidR="00374D49" w:rsidRDefault="00374D49">
            <w:pPr>
              <w:keepNext/>
              <w:rPr>
                <w:rFonts w:cs="Times New Roman"/>
                <w:sz w:val="16"/>
                <w:szCs w:val="16"/>
              </w:rPr>
            </w:pPr>
            <w:r>
              <w:rPr>
                <w:rFonts w:cs="Times New Roman"/>
                <w:sz w:val="16"/>
                <w:szCs w:val="16"/>
              </w:rPr>
              <w:t>123/123</w:t>
            </w:r>
          </w:p>
        </w:tc>
        <w:tc>
          <w:tcPr>
            <w:tcW w:w="1944" w:type="dxa"/>
            <w:vAlign w:val="center"/>
          </w:tcPr>
          <w:p w14:paraId="0F72C470" w14:textId="77777777" w:rsidR="00374D49" w:rsidRDefault="00374D49">
            <w:pPr>
              <w:keepNext/>
              <w:rPr>
                <w:rFonts w:cs="Times New Roman"/>
                <w:sz w:val="16"/>
                <w:szCs w:val="16"/>
              </w:rPr>
            </w:pPr>
            <w:r>
              <w:rPr>
                <w:rFonts w:cs="Times New Roman"/>
                <w:sz w:val="16"/>
                <w:szCs w:val="16"/>
              </w:rPr>
              <w:t>112,309 (67,941-169,284)</w:t>
            </w:r>
          </w:p>
        </w:tc>
        <w:tc>
          <w:tcPr>
            <w:tcW w:w="720" w:type="dxa"/>
            <w:vAlign w:val="center"/>
          </w:tcPr>
          <w:p w14:paraId="40E6B5DC" w14:textId="77777777" w:rsidR="00374D49" w:rsidRDefault="00374D49">
            <w:pPr>
              <w:keepNext/>
              <w:rPr>
                <w:rFonts w:cs="Times New Roman"/>
                <w:sz w:val="16"/>
                <w:szCs w:val="16"/>
              </w:rPr>
            </w:pPr>
            <w:r>
              <w:rPr>
                <w:rFonts w:cs="Times New Roman"/>
                <w:sz w:val="16"/>
                <w:szCs w:val="16"/>
              </w:rPr>
              <w:t>13.7</w:t>
            </w:r>
          </w:p>
        </w:tc>
        <w:tc>
          <w:tcPr>
            <w:tcW w:w="1944" w:type="dxa"/>
            <w:vAlign w:val="center"/>
          </w:tcPr>
          <w:p w14:paraId="6DDB8319" w14:textId="77777777" w:rsidR="00374D49" w:rsidRDefault="00374D49">
            <w:pPr>
              <w:keepNext/>
              <w:rPr>
                <w:rFonts w:cs="Times New Roman"/>
                <w:sz w:val="16"/>
                <w:szCs w:val="16"/>
              </w:rPr>
            </w:pPr>
            <w:r>
              <w:rPr>
                <w:rFonts w:cs="Times New Roman"/>
                <w:sz w:val="16"/>
                <w:szCs w:val="16"/>
              </w:rPr>
              <w:t>110,354 (65,945-169,111)</w:t>
            </w:r>
          </w:p>
        </w:tc>
        <w:tc>
          <w:tcPr>
            <w:tcW w:w="720" w:type="dxa"/>
            <w:vAlign w:val="center"/>
          </w:tcPr>
          <w:p w14:paraId="19414F8B" w14:textId="77777777" w:rsidR="00374D49" w:rsidRDefault="00374D49">
            <w:pPr>
              <w:keepNext/>
              <w:rPr>
                <w:rFonts w:cs="Times New Roman"/>
                <w:sz w:val="16"/>
                <w:szCs w:val="16"/>
              </w:rPr>
            </w:pPr>
            <w:r>
              <w:rPr>
                <w:rFonts w:cs="Times New Roman"/>
                <w:sz w:val="16"/>
                <w:szCs w:val="16"/>
              </w:rPr>
              <w:t>13.4</w:t>
            </w:r>
          </w:p>
        </w:tc>
        <w:tc>
          <w:tcPr>
            <w:tcW w:w="720" w:type="dxa"/>
            <w:vAlign w:val="center"/>
          </w:tcPr>
          <w:p w14:paraId="79954BE7" w14:textId="77777777" w:rsidR="00374D49" w:rsidRDefault="00374D49">
            <w:pPr>
              <w:keepNext/>
              <w:rPr>
                <w:rFonts w:cs="Times New Roman"/>
                <w:sz w:val="16"/>
                <w:szCs w:val="16"/>
              </w:rPr>
            </w:pPr>
            <w:r>
              <w:rPr>
                <w:rFonts w:cs="Times New Roman"/>
                <w:sz w:val="16"/>
                <w:szCs w:val="16"/>
              </w:rPr>
              <w:t>-1.7%</w:t>
            </w:r>
          </w:p>
        </w:tc>
        <w:tc>
          <w:tcPr>
            <w:tcW w:w="748" w:type="dxa"/>
            <w:vAlign w:val="center"/>
          </w:tcPr>
          <w:p w14:paraId="6F8DD6E6" w14:textId="77777777" w:rsidR="00374D49" w:rsidRDefault="00374D49">
            <w:pPr>
              <w:keepNext/>
              <w:rPr>
                <w:rFonts w:cs="Times New Roman"/>
                <w:sz w:val="16"/>
                <w:szCs w:val="16"/>
              </w:rPr>
            </w:pPr>
            <w:r>
              <w:rPr>
                <w:rFonts w:cs="Times New Roman"/>
                <w:sz w:val="16"/>
                <w:szCs w:val="16"/>
              </w:rPr>
              <w:t>8.8</w:t>
            </w:r>
          </w:p>
        </w:tc>
      </w:tr>
      <w:tr w:rsidR="00374D49" w14:paraId="5B66370E" w14:textId="77777777">
        <w:trPr>
          <w:cantSplit/>
        </w:trPr>
        <w:tc>
          <w:tcPr>
            <w:tcW w:w="1368" w:type="dxa"/>
            <w:vAlign w:val="center"/>
          </w:tcPr>
          <w:p w14:paraId="7CC3B85C" w14:textId="77777777" w:rsidR="00374D49" w:rsidRDefault="00374D49">
            <w:pPr>
              <w:keepNext/>
              <w:rPr>
                <w:rFonts w:cs="Times New Roman"/>
                <w:sz w:val="16"/>
                <w:szCs w:val="16"/>
              </w:rPr>
            </w:pPr>
            <w:r>
              <w:rPr>
                <w:rFonts w:cs="Times New Roman"/>
                <w:sz w:val="16"/>
                <w:szCs w:val="16"/>
              </w:rPr>
              <w:t>South East</w:t>
            </w:r>
          </w:p>
        </w:tc>
        <w:tc>
          <w:tcPr>
            <w:tcW w:w="864" w:type="dxa"/>
            <w:vAlign w:val="center"/>
          </w:tcPr>
          <w:p w14:paraId="7B84A43E" w14:textId="77777777" w:rsidR="00374D49" w:rsidRDefault="00374D49">
            <w:pPr>
              <w:keepNext/>
              <w:rPr>
                <w:rFonts w:cs="Times New Roman"/>
                <w:sz w:val="16"/>
                <w:szCs w:val="16"/>
              </w:rPr>
            </w:pPr>
            <w:r>
              <w:rPr>
                <w:rFonts w:cs="Times New Roman"/>
                <w:sz w:val="16"/>
                <w:szCs w:val="16"/>
              </w:rPr>
              <w:t>95/95</w:t>
            </w:r>
          </w:p>
        </w:tc>
        <w:tc>
          <w:tcPr>
            <w:tcW w:w="1944" w:type="dxa"/>
            <w:vAlign w:val="center"/>
          </w:tcPr>
          <w:p w14:paraId="2A9DE46C" w14:textId="77777777" w:rsidR="00374D49" w:rsidRDefault="00374D49">
            <w:pPr>
              <w:keepNext/>
              <w:rPr>
                <w:rFonts w:cs="Times New Roman"/>
                <w:sz w:val="16"/>
                <w:szCs w:val="16"/>
              </w:rPr>
            </w:pPr>
            <w:r>
              <w:rPr>
                <w:rFonts w:cs="Times New Roman"/>
                <w:sz w:val="16"/>
                <w:szCs w:val="16"/>
              </w:rPr>
              <w:t>67,871 (36,662-111,588)</w:t>
            </w:r>
          </w:p>
        </w:tc>
        <w:tc>
          <w:tcPr>
            <w:tcW w:w="720" w:type="dxa"/>
            <w:vAlign w:val="center"/>
          </w:tcPr>
          <w:p w14:paraId="0650CD7E" w14:textId="77777777" w:rsidR="00374D49" w:rsidRDefault="00374D49">
            <w:pPr>
              <w:keepNext/>
              <w:rPr>
                <w:rFonts w:cs="Times New Roman"/>
                <w:sz w:val="16"/>
                <w:szCs w:val="16"/>
              </w:rPr>
            </w:pPr>
            <w:r>
              <w:rPr>
                <w:rFonts w:cs="Times New Roman"/>
                <w:sz w:val="16"/>
                <w:szCs w:val="16"/>
              </w:rPr>
              <w:t>9.1</w:t>
            </w:r>
          </w:p>
        </w:tc>
        <w:tc>
          <w:tcPr>
            <w:tcW w:w="1944" w:type="dxa"/>
            <w:vAlign w:val="center"/>
          </w:tcPr>
          <w:p w14:paraId="64E80E79" w14:textId="77777777" w:rsidR="00374D49" w:rsidRDefault="00374D49">
            <w:pPr>
              <w:keepNext/>
              <w:rPr>
                <w:rFonts w:cs="Times New Roman"/>
                <w:sz w:val="16"/>
                <w:szCs w:val="16"/>
              </w:rPr>
            </w:pPr>
            <w:r>
              <w:rPr>
                <w:rFonts w:cs="Times New Roman"/>
                <w:sz w:val="16"/>
                <w:szCs w:val="16"/>
              </w:rPr>
              <w:t>52,005 (26,981-87,430)</w:t>
            </w:r>
          </w:p>
        </w:tc>
        <w:tc>
          <w:tcPr>
            <w:tcW w:w="720" w:type="dxa"/>
            <w:vAlign w:val="center"/>
          </w:tcPr>
          <w:p w14:paraId="35801E89" w14:textId="77777777" w:rsidR="00374D49" w:rsidRDefault="00374D49">
            <w:pPr>
              <w:keepNext/>
              <w:rPr>
                <w:rFonts w:cs="Times New Roman"/>
                <w:sz w:val="16"/>
                <w:szCs w:val="16"/>
              </w:rPr>
            </w:pPr>
            <w:r>
              <w:rPr>
                <w:rFonts w:cs="Times New Roman"/>
                <w:sz w:val="16"/>
                <w:szCs w:val="16"/>
              </w:rPr>
              <w:t>7.0</w:t>
            </w:r>
          </w:p>
        </w:tc>
        <w:tc>
          <w:tcPr>
            <w:tcW w:w="720" w:type="dxa"/>
            <w:vAlign w:val="center"/>
          </w:tcPr>
          <w:p w14:paraId="0F203ACD" w14:textId="77777777" w:rsidR="00374D49" w:rsidRDefault="00374D49">
            <w:pPr>
              <w:keepNext/>
              <w:rPr>
                <w:rFonts w:cs="Times New Roman"/>
                <w:sz w:val="16"/>
                <w:szCs w:val="16"/>
              </w:rPr>
            </w:pPr>
            <w:r>
              <w:rPr>
                <w:rFonts w:cs="Times New Roman"/>
                <w:sz w:val="16"/>
                <w:szCs w:val="16"/>
              </w:rPr>
              <w:t>-23.4%</w:t>
            </w:r>
          </w:p>
        </w:tc>
        <w:tc>
          <w:tcPr>
            <w:tcW w:w="748" w:type="dxa"/>
            <w:vAlign w:val="center"/>
          </w:tcPr>
          <w:p w14:paraId="627C7375" w14:textId="77777777" w:rsidR="00374D49" w:rsidRDefault="00374D49">
            <w:pPr>
              <w:keepNext/>
              <w:rPr>
                <w:rFonts w:cs="Times New Roman"/>
                <w:sz w:val="16"/>
                <w:szCs w:val="16"/>
              </w:rPr>
            </w:pPr>
            <w:r>
              <w:rPr>
                <w:rFonts w:cs="Times New Roman"/>
                <w:sz w:val="16"/>
                <w:szCs w:val="16"/>
              </w:rPr>
              <w:t>11.2</w:t>
            </w:r>
          </w:p>
        </w:tc>
      </w:tr>
      <w:tr w:rsidR="00374D49" w14:paraId="07B59E63" w14:textId="77777777">
        <w:trPr>
          <w:cnfStyle w:val="000000100000" w:firstRow="0" w:lastRow="0" w:firstColumn="0" w:lastColumn="0" w:oddVBand="0" w:evenVBand="0" w:oddHBand="1" w:evenHBand="0" w:firstRowFirstColumn="0" w:firstRowLastColumn="0" w:lastRowFirstColumn="0" w:lastRowLastColumn="0"/>
          <w:cantSplit/>
        </w:trPr>
        <w:tc>
          <w:tcPr>
            <w:tcW w:w="1368" w:type="dxa"/>
            <w:vAlign w:val="center"/>
          </w:tcPr>
          <w:p w14:paraId="7B5AEEF8" w14:textId="77777777" w:rsidR="00374D49" w:rsidRDefault="00374D49">
            <w:pPr>
              <w:keepNext/>
              <w:rPr>
                <w:rFonts w:cs="Times New Roman"/>
                <w:sz w:val="16"/>
                <w:szCs w:val="16"/>
              </w:rPr>
            </w:pPr>
            <w:r>
              <w:rPr>
                <w:rFonts w:cs="Times New Roman"/>
                <w:sz w:val="16"/>
                <w:szCs w:val="16"/>
              </w:rPr>
              <w:t>Nigeria</w:t>
            </w:r>
          </w:p>
        </w:tc>
        <w:tc>
          <w:tcPr>
            <w:tcW w:w="864" w:type="dxa"/>
            <w:vAlign w:val="center"/>
          </w:tcPr>
          <w:p w14:paraId="6A8EACF5" w14:textId="77777777" w:rsidR="00374D49" w:rsidRDefault="00374D49">
            <w:pPr>
              <w:keepNext/>
              <w:rPr>
                <w:rFonts w:cs="Times New Roman"/>
                <w:sz w:val="16"/>
                <w:szCs w:val="16"/>
              </w:rPr>
            </w:pPr>
            <w:r>
              <w:rPr>
                <w:rFonts w:cs="Times New Roman"/>
                <w:sz w:val="16"/>
                <w:szCs w:val="16"/>
              </w:rPr>
              <w:t>773/774</w:t>
            </w:r>
          </w:p>
        </w:tc>
        <w:tc>
          <w:tcPr>
            <w:tcW w:w="1944" w:type="dxa"/>
            <w:vAlign w:val="center"/>
          </w:tcPr>
          <w:p w14:paraId="7E8E1F6C" w14:textId="77777777" w:rsidR="00374D49" w:rsidRDefault="00374D49">
            <w:pPr>
              <w:keepNext/>
              <w:rPr>
                <w:rFonts w:cs="Times New Roman"/>
                <w:sz w:val="16"/>
                <w:szCs w:val="16"/>
              </w:rPr>
            </w:pPr>
            <w:r>
              <w:rPr>
                <w:rFonts w:cs="Times New Roman"/>
                <w:sz w:val="16"/>
                <w:szCs w:val="16"/>
              </w:rPr>
              <w:t>2,099,204 (1,898,902-2,308,432)</w:t>
            </w:r>
          </w:p>
        </w:tc>
        <w:tc>
          <w:tcPr>
            <w:tcW w:w="720" w:type="dxa"/>
            <w:vAlign w:val="center"/>
          </w:tcPr>
          <w:p w14:paraId="2D586C12" w14:textId="77777777" w:rsidR="00374D49" w:rsidRDefault="00374D49">
            <w:pPr>
              <w:keepNext/>
              <w:rPr>
                <w:rFonts w:cs="Times New Roman"/>
                <w:sz w:val="16"/>
                <w:szCs w:val="16"/>
              </w:rPr>
            </w:pPr>
            <w:r>
              <w:rPr>
                <w:rFonts w:cs="Times New Roman"/>
                <w:sz w:val="16"/>
                <w:szCs w:val="16"/>
              </w:rPr>
              <w:t>29.9</w:t>
            </w:r>
          </w:p>
        </w:tc>
        <w:tc>
          <w:tcPr>
            <w:tcW w:w="1944" w:type="dxa"/>
            <w:vAlign w:val="center"/>
          </w:tcPr>
          <w:p w14:paraId="3436AF81" w14:textId="77777777" w:rsidR="00374D49" w:rsidRDefault="00374D49">
            <w:pPr>
              <w:keepNext/>
              <w:rPr>
                <w:rFonts w:cs="Times New Roman"/>
                <w:sz w:val="16"/>
                <w:szCs w:val="16"/>
              </w:rPr>
            </w:pPr>
            <w:r>
              <w:rPr>
                <w:rFonts w:cs="Times New Roman"/>
                <w:sz w:val="16"/>
                <w:szCs w:val="16"/>
              </w:rPr>
              <w:t>2,149,561 (1,856,459-2,455,411)</w:t>
            </w:r>
          </w:p>
        </w:tc>
        <w:tc>
          <w:tcPr>
            <w:tcW w:w="720" w:type="dxa"/>
            <w:vAlign w:val="center"/>
          </w:tcPr>
          <w:p w14:paraId="30F7ADD9" w14:textId="77777777" w:rsidR="00374D49" w:rsidRDefault="00374D49">
            <w:pPr>
              <w:keepNext/>
              <w:rPr>
                <w:rFonts w:cs="Times New Roman"/>
                <w:sz w:val="16"/>
                <w:szCs w:val="16"/>
              </w:rPr>
            </w:pPr>
            <w:r>
              <w:rPr>
                <w:rFonts w:cs="Times New Roman"/>
                <w:sz w:val="16"/>
                <w:szCs w:val="16"/>
              </w:rPr>
              <w:t>30.6</w:t>
            </w:r>
          </w:p>
        </w:tc>
        <w:tc>
          <w:tcPr>
            <w:tcW w:w="720" w:type="dxa"/>
            <w:vAlign w:val="center"/>
          </w:tcPr>
          <w:p w14:paraId="28D52A56" w14:textId="77777777" w:rsidR="00374D49" w:rsidRDefault="00374D49">
            <w:pPr>
              <w:keepNext/>
              <w:rPr>
                <w:rFonts w:cs="Times New Roman"/>
                <w:sz w:val="16"/>
                <w:szCs w:val="16"/>
              </w:rPr>
            </w:pPr>
            <w:r>
              <w:rPr>
                <w:rFonts w:cs="Times New Roman"/>
                <w:sz w:val="16"/>
                <w:szCs w:val="16"/>
              </w:rPr>
              <w:t>+2.4%</w:t>
            </w:r>
          </w:p>
        </w:tc>
        <w:tc>
          <w:tcPr>
            <w:tcW w:w="748" w:type="dxa"/>
            <w:vAlign w:val="center"/>
          </w:tcPr>
          <w:p w14:paraId="14C5EA2E" w14:textId="77777777" w:rsidR="00374D49" w:rsidRDefault="00374D49">
            <w:pPr>
              <w:keepNext/>
              <w:rPr>
                <w:rFonts w:cs="Times New Roman"/>
                <w:sz w:val="16"/>
                <w:szCs w:val="16"/>
              </w:rPr>
            </w:pPr>
            <w:r>
              <w:rPr>
                <w:rFonts w:cs="Times New Roman"/>
                <w:sz w:val="16"/>
                <w:szCs w:val="16"/>
              </w:rPr>
              <w:t>-</w:t>
            </w:r>
          </w:p>
        </w:tc>
      </w:tr>
    </w:tbl>
    <w:p w14:paraId="5D89EDDE"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NmDHS 2025-26 zone rates for reference (not used in fitting).</w:t>
      </w:r>
    </w:p>
    <w:p w14:paraId="0F773671"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B360370" wp14:editId="422ED7DF">
            <wp:extent cx="5120640" cy="2733996"/>
            <wp:effectExtent l="0" t="0" r="0" b="0"/>
            <wp:docPr id="1964530414" name="Picture 196453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1_zone_comparison.png"/>
                    <pic:cNvPicPr/>
                  </pic:nvPicPr>
                  <pic:blipFill>
                    <a:blip r:embed="rId37"/>
                    <a:stretch>
                      <a:fillRect/>
                    </a:stretch>
                  </pic:blipFill>
                  <pic:spPr>
                    <a:xfrm>
                      <a:off x="0" y="0"/>
                      <a:ext cx="5120640" cy="2733996"/>
                    </a:xfrm>
                    <a:prstGeom prst="rect">
                      <a:avLst/>
                    </a:prstGeom>
                  </pic:spPr>
                </pic:pic>
              </a:graphicData>
            </a:graphic>
          </wp:inline>
        </w:drawing>
      </w:r>
    </w:p>
    <w:p w14:paraId="6B7049E4" w14:textId="77777777" w:rsidR="00B941FD" w:rsidRPr="00374D49" w:rsidRDefault="00B941FD" w:rsidP="00FD4A5B">
      <w:pPr>
        <w:pStyle w:val="MyFigures"/>
        <w:spacing w:line="276" w:lineRule="auto"/>
      </w:pPr>
      <w:bookmarkStart w:id="83" w:name="_Toc242408009"/>
      <w:r>
        <w:t>Figure 16h. Modelled zero-dose children by zone, 2026, under both methods, with 95% intervals.</w:t>
      </w:r>
      <w:bookmarkEnd w:id="83"/>
    </w:p>
    <w:p w14:paraId="4DCF9C8C" w14:textId="77777777" w:rsidR="003D146D" w:rsidRPr="00374D49" w:rsidRDefault="003D146D" w:rsidP="00FD4A5B">
      <w:pPr>
        <w:pStyle w:val="MyTables"/>
        <w:keepNext/>
        <w:spacing w:line="276" w:lineRule="auto"/>
      </w:pPr>
      <w:bookmarkStart w:id="84" w:name="_Toc242407973"/>
      <w:r>
        <w:t>Table 6f. Modelled zero-dose children in 2026 by state, Method 1 and Method 2.</w:t>
      </w:r>
      <w:bookmarkEnd w:id="84"/>
    </w:p>
    <w:tbl>
      <w:tblPr>
        <w:tblStyle w:val="PlainTable5"/>
        <w:tblW w:w="9028" w:type="dxa"/>
        <w:tblLook w:val="0420" w:firstRow="1" w:lastRow="0" w:firstColumn="0" w:lastColumn="0" w:noHBand="0" w:noVBand="1"/>
      </w:tblPr>
      <w:tblGrid>
        <w:gridCol w:w="1441"/>
        <w:gridCol w:w="1441"/>
        <w:gridCol w:w="1440"/>
        <w:gridCol w:w="1007"/>
        <w:gridCol w:w="1440"/>
        <w:gridCol w:w="1007"/>
        <w:gridCol w:w="1252"/>
      </w:tblGrid>
      <w:tr w:rsidR="00374D49" w14:paraId="51AD82F1" w14:textId="77777777">
        <w:trPr>
          <w:cnfStyle w:val="100000000000" w:firstRow="1" w:lastRow="0" w:firstColumn="0" w:lastColumn="0" w:oddVBand="0" w:evenVBand="0" w:oddHBand="0" w:evenHBand="0" w:firstRowFirstColumn="0" w:firstRowLastColumn="0" w:lastRowFirstColumn="0" w:lastRowLastColumn="0"/>
          <w:cantSplit/>
          <w:tblHeader/>
        </w:trPr>
        <w:tc>
          <w:tcPr>
            <w:tcW w:w="1440" w:type="dxa"/>
            <w:vAlign w:val="center"/>
          </w:tcPr>
          <w:p w14:paraId="30B59647" w14:textId="77777777" w:rsidR="00374D49" w:rsidRDefault="00374D49">
            <w:pPr>
              <w:keepNext/>
              <w:rPr>
                <w:rFonts w:cs="Times New Roman"/>
                <w:b/>
                <w:sz w:val="16"/>
                <w:szCs w:val="16"/>
              </w:rPr>
            </w:pPr>
            <w:r>
              <w:rPr>
                <w:rFonts w:cs="Times New Roman"/>
                <w:b/>
                <w:sz w:val="16"/>
                <w:szCs w:val="16"/>
              </w:rPr>
              <w:t>State</w:t>
            </w:r>
          </w:p>
        </w:tc>
        <w:tc>
          <w:tcPr>
            <w:tcW w:w="1440" w:type="dxa"/>
            <w:vAlign w:val="center"/>
          </w:tcPr>
          <w:p w14:paraId="4152FF74" w14:textId="77777777" w:rsidR="00374D49" w:rsidRDefault="00374D49">
            <w:pPr>
              <w:keepNext/>
              <w:rPr>
                <w:rFonts w:cs="Times New Roman"/>
                <w:b/>
                <w:sz w:val="16"/>
                <w:szCs w:val="16"/>
              </w:rPr>
            </w:pPr>
            <w:r>
              <w:rPr>
                <w:rFonts w:cs="Times New Roman"/>
                <w:b/>
                <w:sz w:val="16"/>
                <w:szCs w:val="16"/>
              </w:rPr>
              <w:t>Zone</w:t>
            </w:r>
          </w:p>
        </w:tc>
        <w:tc>
          <w:tcPr>
            <w:tcW w:w="1440" w:type="dxa"/>
            <w:vAlign w:val="center"/>
          </w:tcPr>
          <w:p w14:paraId="281EE0EE" w14:textId="77777777" w:rsidR="00374D49" w:rsidRDefault="00374D49">
            <w:pPr>
              <w:keepNext/>
              <w:rPr>
                <w:rFonts w:cs="Times New Roman"/>
                <w:b/>
                <w:sz w:val="16"/>
                <w:szCs w:val="16"/>
              </w:rPr>
            </w:pPr>
            <w:r>
              <w:rPr>
                <w:rFonts w:cs="Times New Roman"/>
                <w:b/>
                <w:sz w:val="16"/>
                <w:szCs w:val="16"/>
              </w:rPr>
              <w:t>Method 1 children</w:t>
            </w:r>
          </w:p>
        </w:tc>
        <w:tc>
          <w:tcPr>
            <w:tcW w:w="1007" w:type="dxa"/>
            <w:vAlign w:val="center"/>
          </w:tcPr>
          <w:p w14:paraId="43A7D17E" w14:textId="77777777" w:rsidR="00374D49" w:rsidRDefault="00374D49">
            <w:pPr>
              <w:keepNext/>
              <w:rPr>
                <w:rFonts w:cs="Times New Roman"/>
                <w:b/>
                <w:sz w:val="16"/>
                <w:szCs w:val="16"/>
              </w:rPr>
            </w:pPr>
            <w:r>
              <w:rPr>
                <w:rFonts w:cs="Times New Roman"/>
                <w:b/>
                <w:sz w:val="16"/>
                <w:szCs w:val="16"/>
              </w:rPr>
              <w:t>M1 rate %</w:t>
            </w:r>
          </w:p>
        </w:tc>
        <w:tc>
          <w:tcPr>
            <w:tcW w:w="1440" w:type="dxa"/>
            <w:vAlign w:val="center"/>
          </w:tcPr>
          <w:p w14:paraId="181CB01C" w14:textId="77777777" w:rsidR="00374D49" w:rsidRDefault="00374D49">
            <w:pPr>
              <w:keepNext/>
              <w:rPr>
                <w:rFonts w:cs="Times New Roman"/>
                <w:b/>
                <w:sz w:val="16"/>
                <w:szCs w:val="16"/>
              </w:rPr>
            </w:pPr>
            <w:r>
              <w:rPr>
                <w:rFonts w:cs="Times New Roman"/>
                <w:b/>
                <w:sz w:val="16"/>
                <w:szCs w:val="16"/>
              </w:rPr>
              <w:t>Method 2 children</w:t>
            </w:r>
          </w:p>
        </w:tc>
        <w:tc>
          <w:tcPr>
            <w:tcW w:w="1007" w:type="dxa"/>
            <w:vAlign w:val="center"/>
          </w:tcPr>
          <w:p w14:paraId="1F9CD3C7" w14:textId="77777777" w:rsidR="00374D49" w:rsidRDefault="00374D49">
            <w:pPr>
              <w:keepNext/>
              <w:rPr>
                <w:rFonts w:cs="Times New Roman"/>
                <w:b/>
                <w:sz w:val="16"/>
                <w:szCs w:val="16"/>
              </w:rPr>
            </w:pPr>
            <w:r>
              <w:rPr>
                <w:rFonts w:cs="Times New Roman"/>
                <w:b/>
                <w:sz w:val="16"/>
                <w:szCs w:val="16"/>
              </w:rPr>
              <w:t>M2 rate %</w:t>
            </w:r>
          </w:p>
        </w:tc>
        <w:tc>
          <w:tcPr>
            <w:tcW w:w="1252" w:type="dxa"/>
            <w:vAlign w:val="center"/>
          </w:tcPr>
          <w:p w14:paraId="5E753635" w14:textId="77777777" w:rsidR="00374D49" w:rsidRDefault="00374D49">
            <w:pPr>
              <w:keepNext/>
              <w:rPr>
                <w:rFonts w:cs="Times New Roman"/>
                <w:b/>
                <w:sz w:val="16"/>
                <w:szCs w:val="16"/>
              </w:rPr>
            </w:pPr>
            <w:r>
              <w:rPr>
                <w:rFonts w:cs="Times New Roman"/>
                <w:b/>
                <w:sz w:val="16"/>
                <w:szCs w:val="16"/>
              </w:rPr>
              <w:t>NmDHS 2025-26 %</w:t>
            </w:r>
          </w:p>
        </w:tc>
      </w:tr>
      <w:tr w:rsidR="00374D49" w14:paraId="69F3840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088542C7" w14:textId="77777777" w:rsidR="00374D49" w:rsidRDefault="00374D49">
            <w:pPr>
              <w:keepNext/>
              <w:rPr>
                <w:rFonts w:cs="Times New Roman"/>
                <w:sz w:val="16"/>
                <w:szCs w:val="16"/>
              </w:rPr>
            </w:pPr>
            <w:r>
              <w:rPr>
                <w:rFonts w:cs="Times New Roman"/>
                <w:sz w:val="16"/>
                <w:szCs w:val="16"/>
              </w:rPr>
              <w:t>Kano</w:t>
            </w:r>
          </w:p>
        </w:tc>
        <w:tc>
          <w:tcPr>
            <w:tcW w:w="1440" w:type="dxa"/>
            <w:vAlign w:val="center"/>
          </w:tcPr>
          <w:p w14:paraId="7B5F7CFE"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94B1F07" w14:textId="77777777" w:rsidR="00374D49" w:rsidRDefault="00374D49">
            <w:pPr>
              <w:keepNext/>
              <w:rPr>
                <w:rFonts w:cs="Times New Roman"/>
                <w:sz w:val="16"/>
                <w:szCs w:val="16"/>
              </w:rPr>
            </w:pPr>
            <w:r>
              <w:rPr>
                <w:rFonts w:cs="Times New Roman"/>
                <w:sz w:val="16"/>
                <w:szCs w:val="16"/>
              </w:rPr>
              <w:t>198,101</w:t>
            </w:r>
          </w:p>
        </w:tc>
        <w:tc>
          <w:tcPr>
            <w:tcW w:w="1007" w:type="dxa"/>
            <w:vAlign w:val="center"/>
          </w:tcPr>
          <w:p w14:paraId="71F201AB" w14:textId="77777777" w:rsidR="00374D49" w:rsidRDefault="00374D49">
            <w:pPr>
              <w:keepNext/>
              <w:rPr>
                <w:rFonts w:cs="Times New Roman"/>
                <w:sz w:val="16"/>
                <w:szCs w:val="16"/>
              </w:rPr>
            </w:pPr>
            <w:r>
              <w:rPr>
                <w:rFonts w:cs="Times New Roman"/>
                <w:sz w:val="16"/>
                <w:szCs w:val="16"/>
              </w:rPr>
              <w:t>36.8</w:t>
            </w:r>
          </w:p>
        </w:tc>
        <w:tc>
          <w:tcPr>
            <w:tcW w:w="1440" w:type="dxa"/>
            <w:vAlign w:val="center"/>
          </w:tcPr>
          <w:p w14:paraId="6C36EAD0" w14:textId="77777777" w:rsidR="00374D49" w:rsidRDefault="00374D49">
            <w:pPr>
              <w:keepNext/>
              <w:rPr>
                <w:rFonts w:cs="Times New Roman"/>
                <w:sz w:val="16"/>
                <w:szCs w:val="16"/>
              </w:rPr>
            </w:pPr>
            <w:r>
              <w:rPr>
                <w:rFonts w:cs="Times New Roman"/>
                <w:sz w:val="16"/>
                <w:szCs w:val="16"/>
              </w:rPr>
              <w:t>227,157</w:t>
            </w:r>
          </w:p>
        </w:tc>
        <w:tc>
          <w:tcPr>
            <w:tcW w:w="1007" w:type="dxa"/>
            <w:vAlign w:val="center"/>
          </w:tcPr>
          <w:p w14:paraId="11DB2AC5" w14:textId="77777777" w:rsidR="00374D49" w:rsidRDefault="00374D49">
            <w:pPr>
              <w:keepNext/>
              <w:rPr>
                <w:rFonts w:cs="Times New Roman"/>
                <w:sz w:val="16"/>
                <w:szCs w:val="16"/>
              </w:rPr>
            </w:pPr>
            <w:r>
              <w:rPr>
                <w:rFonts w:cs="Times New Roman"/>
                <w:sz w:val="16"/>
                <w:szCs w:val="16"/>
              </w:rPr>
              <w:t>42.4</w:t>
            </w:r>
          </w:p>
        </w:tc>
        <w:tc>
          <w:tcPr>
            <w:tcW w:w="1252" w:type="dxa"/>
            <w:vAlign w:val="center"/>
          </w:tcPr>
          <w:p w14:paraId="20048F20" w14:textId="77777777" w:rsidR="00374D49" w:rsidRDefault="00374D49">
            <w:pPr>
              <w:keepNext/>
              <w:rPr>
                <w:rFonts w:cs="Times New Roman"/>
                <w:sz w:val="16"/>
                <w:szCs w:val="16"/>
              </w:rPr>
            </w:pPr>
            <w:r>
              <w:rPr>
                <w:rFonts w:cs="Times New Roman"/>
                <w:sz w:val="16"/>
                <w:szCs w:val="16"/>
              </w:rPr>
              <w:t>38.7</w:t>
            </w:r>
          </w:p>
        </w:tc>
      </w:tr>
      <w:tr w:rsidR="00374D49" w14:paraId="0ECE609B" w14:textId="77777777">
        <w:trPr>
          <w:cantSplit/>
        </w:trPr>
        <w:tc>
          <w:tcPr>
            <w:tcW w:w="1440" w:type="dxa"/>
            <w:vAlign w:val="center"/>
          </w:tcPr>
          <w:p w14:paraId="3E1C2235" w14:textId="77777777" w:rsidR="00374D49" w:rsidRDefault="00374D49">
            <w:pPr>
              <w:keepNext/>
              <w:rPr>
                <w:rFonts w:cs="Times New Roman"/>
                <w:sz w:val="16"/>
                <w:szCs w:val="16"/>
              </w:rPr>
            </w:pPr>
            <w:r>
              <w:rPr>
                <w:rFonts w:cs="Times New Roman"/>
                <w:sz w:val="16"/>
                <w:szCs w:val="16"/>
              </w:rPr>
              <w:t>Katsina</w:t>
            </w:r>
          </w:p>
        </w:tc>
        <w:tc>
          <w:tcPr>
            <w:tcW w:w="1440" w:type="dxa"/>
            <w:vAlign w:val="center"/>
          </w:tcPr>
          <w:p w14:paraId="5859312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0BFA691" w14:textId="77777777" w:rsidR="00374D49" w:rsidRDefault="00374D49">
            <w:pPr>
              <w:keepNext/>
              <w:rPr>
                <w:rFonts w:cs="Times New Roman"/>
                <w:sz w:val="16"/>
                <w:szCs w:val="16"/>
              </w:rPr>
            </w:pPr>
            <w:r>
              <w:rPr>
                <w:rFonts w:cs="Times New Roman"/>
                <w:sz w:val="16"/>
                <w:szCs w:val="16"/>
              </w:rPr>
              <w:t>169,685</w:t>
            </w:r>
          </w:p>
        </w:tc>
        <w:tc>
          <w:tcPr>
            <w:tcW w:w="1007" w:type="dxa"/>
            <w:vAlign w:val="center"/>
          </w:tcPr>
          <w:p w14:paraId="0365FD1E" w14:textId="77777777" w:rsidR="00374D49" w:rsidRDefault="00374D49">
            <w:pPr>
              <w:keepNext/>
              <w:rPr>
                <w:rFonts w:cs="Times New Roman"/>
                <w:sz w:val="16"/>
                <w:szCs w:val="16"/>
              </w:rPr>
            </w:pPr>
            <w:r>
              <w:rPr>
                <w:rFonts w:cs="Times New Roman"/>
                <w:sz w:val="16"/>
                <w:szCs w:val="16"/>
              </w:rPr>
              <w:t>39.0</w:t>
            </w:r>
          </w:p>
        </w:tc>
        <w:tc>
          <w:tcPr>
            <w:tcW w:w="1440" w:type="dxa"/>
            <w:vAlign w:val="center"/>
          </w:tcPr>
          <w:p w14:paraId="7AAC25DC" w14:textId="77777777" w:rsidR="00374D49" w:rsidRDefault="00374D49">
            <w:pPr>
              <w:keepNext/>
              <w:rPr>
                <w:rFonts w:cs="Times New Roman"/>
                <w:sz w:val="16"/>
                <w:szCs w:val="16"/>
              </w:rPr>
            </w:pPr>
            <w:r>
              <w:rPr>
                <w:rFonts w:cs="Times New Roman"/>
                <w:sz w:val="16"/>
                <w:szCs w:val="16"/>
              </w:rPr>
              <w:t>211,744</w:t>
            </w:r>
          </w:p>
        </w:tc>
        <w:tc>
          <w:tcPr>
            <w:tcW w:w="1007" w:type="dxa"/>
            <w:vAlign w:val="center"/>
          </w:tcPr>
          <w:p w14:paraId="39357171" w14:textId="77777777" w:rsidR="00374D49" w:rsidRDefault="00374D49">
            <w:pPr>
              <w:keepNext/>
              <w:rPr>
                <w:rFonts w:cs="Times New Roman"/>
                <w:sz w:val="16"/>
                <w:szCs w:val="16"/>
              </w:rPr>
            </w:pPr>
            <w:r>
              <w:rPr>
                <w:rFonts w:cs="Times New Roman"/>
                <w:sz w:val="16"/>
                <w:szCs w:val="16"/>
              </w:rPr>
              <w:t>48.6</w:t>
            </w:r>
          </w:p>
        </w:tc>
        <w:tc>
          <w:tcPr>
            <w:tcW w:w="1252" w:type="dxa"/>
            <w:vAlign w:val="center"/>
          </w:tcPr>
          <w:p w14:paraId="524DD417" w14:textId="77777777" w:rsidR="00374D49" w:rsidRDefault="00374D49">
            <w:pPr>
              <w:keepNext/>
              <w:rPr>
                <w:rFonts w:cs="Times New Roman"/>
                <w:sz w:val="16"/>
                <w:szCs w:val="16"/>
              </w:rPr>
            </w:pPr>
            <w:r>
              <w:rPr>
                <w:rFonts w:cs="Times New Roman"/>
                <w:sz w:val="16"/>
                <w:szCs w:val="16"/>
              </w:rPr>
              <w:t>48.2</w:t>
            </w:r>
          </w:p>
        </w:tc>
      </w:tr>
      <w:tr w:rsidR="00374D49" w14:paraId="1EF0D0F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E5CE384" w14:textId="77777777" w:rsidR="00374D49" w:rsidRDefault="00374D49">
            <w:pPr>
              <w:keepNext/>
              <w:rPr>
                <w:rFonts w:cs="Times New Roman"/>
                <w:sz w:val="16"/>
                <w:szCs w:val="16"/>
              </w:rPr>
            </w:pPr>
            <w:r>
              <w:rPr>
                <w:rFonts w:cs="Times New Roman"/>
                <w:sz w:val="16"/>
                <w:szCs w:val="16"/>
              </w:rPr>
              <w:t>Sokoto</w:t>
            </w:r>
          </w:p>
        </w:tc>
        <w:tc>
          <w:tcPr>
            <w:tcW w:w="1440" w:type="dxa"/>
            <w:vAlign w:val="center"/>
          </w:tcPr>
          <w:p w14:paraId="6C91042F"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5A78FC" w14:textId="77777777" w:rsidR="00374D49" w:rsidRDefault="00374D49">
            <w:pPr>
              <w:keepNext/>
              <w:rPr>
                <w:rFonts w:cs="Times New Roman"/>
                <w:sz w:val="16"/>
                <w:szCs w:val="16"/>
              </w:rPr>
            </w:pPr>
            <w:r>
              <w:rPr>
                <w:rFonts w:cs="Times New Roman"/>
                <w:sz w:val="16"/>
                <w:szCs w:val="16"/>
              </w:rPr>
              <w:t>166,648</w:t>
            </w:r>
          </w:p>
        </w:tc>
        <w:tc>
          <w:tcPr>
            <w:tcW w:w="1007" w:type="dxa"/>
            <w:vAlign w:val="center"/>
          </w:tcPr>
          <w:p w14:paraId="33E02367" w14:textId="77777777" w:rsidR="00374D49" w:rsidRDefault="00374D49">
            <w:pPr>
              <w:keepNext/>
              <w:rPr>
                <w:rFonts w:cs="Times New Roman"/>
                <w:sz w:val="16"/>
                <w:szCs w:val="16"/>
              </w:rPr>
            </w:pPr>
            <w:r>
              <w:rPr>
                <w:rFonts w:cs="Times New Roman"/>
                <w:sz w:val="16"/>
                <w:szCs w:val="16"/>
              </w:rPr>
              <w:t>72.7</w:t>
            </w:r>
          </w:p>
        </w:tc>
        <w:tc>
          <w:tcPr>
            <w:tcW w:w="1440" w:type="dxa"/>
            <w:vAlign w:val="center"/>
          </w:tcPr>
          <w:p w14:paraId="38BB07AD" w14:textId="77777777" w:rsidR="00374D49" w:rsidRDefault="00374D49">
            <w:pPr>
              <w:keepNext/>
              <w:rPr>
                <w:rFonts w:cs="Times New Roman"/>
                <w:sz w:val="16"/>
                <w:szCs w:val="16"/>
              </w:rPr>
            </w:pPr>
            <w:r>
              <w:rPr>
                <w:rFonts w:cs="Times New Roman"/>
                <w:sz w:val="16"/>
                <w:szCs w:val="16"/>
              </w:rPr>
              <w:t>167,720</w:t>
            </w:r>
          </w:p>
        </w:tc>
        <w:tc>
          <w:tcPr>
            <w:tcW w:w="1007" w:type="dxa"/>
            <w:vAlign w:val="center"/>
          </w:tcPr>
          <w:p w14:paraId="7A2248D8" w14:textId="77777777" w:rsidR="00374D49" w:rsidRDefault="00374D49">
            <w:pPr>
              <w:keepNext/>
              <w:rPr>
                <w:rFonts w:cs="Times New Roman"/>
                <w:sz w:val="16"/>
                <w:szCs w:val="16"/>
              </w:rPr>
            </w:pPr>
            <w:r>
              <w:rPr>
                <w:rFonts w:cs="Times New Roman"/>
                <w:sz w:val="16"/>
                <w:szCs w:val="16"/>
              </w:rPr>
              <w:t>71.4</w:t>
            </w:r>
          </w:p>
        </w:tc>
        <w:tc>
          <w:tcPr>
            <w:tcW w:w="1252" w:type="dxa"/>
            <w:vAlign w:val="center"/>
          </w:tcPr>
          <w:p w14:paraId="10516DDF" w14:textId="77777777" w:rsidR="00374D49" w:rsidRDefault="00374D49">
            <w:pPr>
              <w:keepNext/>
              <w:rPr>
                <w:rFonts w:cs="Times New Roman"/>
                <w:sz w:val="16"/>
                <w:szCs w:val="16"/>
              </w:rPr>
            </w:pPr>
            <w:r>
              <w:rPr>
                <w:rFonts w:cs="Times New Roman"/>
                <w:sz w:val="16"/>
                <w:szCs w:val="16"/>
              </w:rPr>
              <w:t>76.5</w:t>
            </w:r>
          </w:p>
        </w:tc>
      </w:tr>
      <w:tr w:rsidR="00374D49" w14:paraId="38A88F65" w14:textId="77777777">
        <w:trPr>
          <w:cantSplit/>
        </w:trPr>
        <w:tc>
          <w:tcPr>
            <w:tcW w:w="1440" w:type="dxa"/>
            <w:vAlign w:val="center"/>
          </w:tcPr>
          <w:p w14:paraId="178D5C1D" w14:textId="77777777" w:rsidR="00374D49" w:rsidRDefault="00374D49">
            <w:pPr>
              <w:keepNext/>
              <w:rPr>
                <w:rFonts w:cs="Times New Roman"/>
                <w:sz w:val="16"/>
                <w:szCs w:val="16"/>
              </w:rPr>
            </w:pPr>
            <w:r>
              <w:rPr>
                <w:rFonts w:cs="Times New Roman"/>
                <w:sz w:val="16"/>
                <w:szCs w:val="16"/>
              </w:rPr>
              <w:t>Kebbi</w:t>
            </w:r>
          </w:p>
        </w:tc>
        <w:tc>
          <w:tcPr>
            <w:tcW w:w="1440" w:type="dxa"/>
            <w:vAlign w:val="center"/>
          </w:tcPr>
          <w:p w14:paraId="251389D9"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799BFDFB" w14:textId="77777777" w:rsidR="00374D49" w:rsidRDefault="00374D49">
            <w:pPr>
              <w:keepNext/>
              <w:rPr>
                <w:rFonts w:cs="Times New Roman"/>
                <w:sz w:val="16"/>
                <w:szCs w:val="16"/>
              </w:rPr>
            </w:pPr>
            <w:r>
              <w:rPr>
                <w:rFonts w:cs="Times New Roman"/>
                <w:sz w:val="16"/>
                <w:szCs w:val="16"/>
              </w:rPr>
              <w:t>153,659</w:t>
            </w:r>
          </w:p>
        </w:tc>
        <w:tc>
          <w:tcPr>
            <w:tcW w:w="1007" w:type="dxa"/>
            <w:vAlign w:val="center"/>
          </w:tcPr>
          <w:p w14:paraId="706B7034" w14:textId="77777777" w:rsidR="00374D49" w:rsidRDefault="00374D49">
            <w:pPr>
              <w:keepNext/>
              <w:rPr>
                <w:rFonts w:cs="Times New Roman"/>
                <w:sz w:val="16"/>
                <w:szCs w:val="16"/>
              </w:rPr>
            </w:pPr>
            <w:r>
              <w:rPr>
                <w:rFonts w:cs="Times New Roman"/>
                <w:sz w:val="16"/>
                <w:szCs w:val="16"/>
              </w:rPr>
              <w:t>69.0</w:t>
            </w:r>
          </w:p>
        </w:tc>
        <w:tc>
          <w:tcPr>
            <w:tcW w:w="1440" w:type="dxa"/>
            <w:vAlign w:val="center"/>
          </w:tcPr>
          <w:p w14:paraId="64BC7BFD" w14:textId="77777777" w:rsidR="00374D49" w:rsidRDefault="00374D49">
            <w:pPr>
              <w:keepNext/>
              <w:rPr>
                <w:rFonts w:cs="Times New Roman"/>
                <w:sz w:val="16"/>
                <w:szCs w:val="16"/>
              </w:rPr>
            </w:pPr>
            <w:r>
              <w:rPr>
                <w:rFonts w:cs="Times New Roman"/>
                <w:sz w:val="16"/>
                <w:szCs w:val="16"/>
              </w:rPr>
              <w:t>162,123</w:t>
            </w:r>
          </w:p>
        </w:tc>
        <w:tc>
          <w:tcPr>
            <w:tcW w:w="1007" w:type="dxa"/>
            <w:vAlign w:val="center"/>
          </w:tcPr>
          <w:p w14:paraId="2DED97EA" w14:textId="77777777" w:rsidR="00374D49" w:rsidRDefault="00374D49">
            <w:pPr>
              <w:keepNext/>
              <w:rPr>
                <w:rFonts w:cs="Times New Roman"/>
                <w:sz w:val="16"/>
                <w:szCs w:val="16"/>
              </w:rPr>
            </w:pPr>
            <w:r>
              <w:rPr>
                <w:rFonts w:cs="Times New Roman"/>
                <w:sz w:val="16"/>
                <w:szCs w:val="16"/>
              </w:rPr>
              <w:t>71.8</w:t>
            </w:r>
          </w:p>
        </w:tc>
        <w:tc>
          <w:tcPr>
            <w:tcW w:w="1252" w:type="dxa"/>
            <w:vAlign w:val="center"/>
          </w:tcPr>
          <w:p w14:paraId="0EE9C148" w14:textId="77777777" w:rsidR="00374D49" w:rsidRDefault="00374D49">
            <w:pPr>
              <w:keepNext/>
              <w:rPr>
                <w:rFonts w:cs="Times New Roman"/>
                <w:sz w:val="16"/>
                <w:szCs w:val="16"/>
              </w:rPr>
            </w:pPr>
            <w:r>
              <w:rPr>
                <w:rFonts w:cs="Times New Roman"/>
                <w:sz w:val="16"/>
                <w:szCs w:val="16"/>
              </w:rPr>
              <w:t>72.4</w:t>
            </w:r>
          </w:p>
        </w:tc>
      </w:tr>
      <w:tr w:rsidR="00374D49" w14:paraId="6C72EE8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3591DDEC" w14:textId="77777777" w:rsidR="00374D49" w:rsidRDefault="00374D49">
            <w:pPr>
              <w:keepNext/>
              <w:rPr>
                <w:rFonts w:cs="Times New Roman"/>
                <w:sz w:val="16"/>
                <w:szCs w:val="16"/>
              </w:rPr>
            </w:pPr>
            <w:r>
              <w:rPr>
                <w:rFonts w:cs="Times New Roman"/>
                <w:sz w:val="16"/>
                <w:szCs w:val="16"/>
              </w:rPr>
              <w:t>Zamfara</w:t>
            </w:r>
          </w:p>
        </w:tc>
        <w:tc>
          <w:tcPr>
            <w:tcW w:w="1440" w:type="dxa"/>
            <w:vAlign w:val="center"/>
          </w:tcPr>
          <w:p w14:paraId="37FB8478"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4715D259" w14:textId="77777777" w:rsidR="00374D49" w:rsidRDefault="00374D49">
            <w:pPr>
              <w:keepNext/>
              <w:rPr>
                <w:rFonts w:cs="Times New Roman"/>
                <w:sz w:val="16"/>
                <w:szCs w:val="16"/>
              </w:rPr>
            </w:pPr>
            <w:r>
              <w:rPr>
                <w:rFonts w:cs="Times New Roman"/>
                <w:sz w:val="16"/>
                <w:szCs w:val="16"/>
              </w:rPr>
              <w:t>150,220</w:t>
            </w:r>
          </w:p>
        </w:tc>
        <w:tc>
          <w:tcPr>
            <w:tcW w:w="1007" w:type="dxa"/>
            <w:vAlign w:val="center"/>
          </w:tcPr>
          <w:p w14:paraId="2B33899C" w14:textId="77777777" w:rsidR="00374D49" w:rsidRDefault="00374D49">
            <w:pPr>
              <w:keepNext/>
              <w:rPr>
                <w:rFonts w:cs="Times New Roman"/>
                <w:sz w:val="16"/>
                <w:szCs w:val="16"/>
              </w:rPr>
            </w:pPr>
            <w:r>
              <w:rPr>
                <w:rFonts w:cs="Times New Roman"/>
                <w:sz w:val="16"/>
                <w:szCs w:val="16"/>
              </w:rPr>
              <w:t>70.9</w:t>
            </w:r>
          </w:p>
        </w:tc>
        <w:tc>
          <w:tcPr>
            <w:tcW w:w="1440" w:type="dxa"/>
            <w:vAlign w:val="center"/>
          </w:tcPr>
          <w:p w14:paraId="7332E103" w14:textId="77777777" w:rsidR="00374D49" w:rsidRDefault="00374D49">
            <w:pPr>
              <w:keepNext/>
              <w:rPr>
                <w:rFonts w:cs="Times New Roman"/>
                <w:sz w:val="16"/>
                <w:szCs w:val="16"/>
              </w:rPr>
            </w:pPr>
            <w:r>
              <w:rPr>
                <w:rFonts w:cs="Times New Roman"/>
                <w:sz w:val="16"/>
                <w:szCs w:val="16"/>
              </w:rPr>
              <w:t>143,697</w:t>
            </w:r>
          </w:p>
        </w:tc>
        <w:tc>
          <w:tcPr>
            <w:tcW w:w="1007" w:type="dxa"/>
            <w:vAlign w:val="center"/>
          </w:tcPr>
          <w:p w14:paraId="01EF2AE7" w14:textId="77777777" w:rsidR="00374D49" w:rsidRDefault="00374D49">
            <w:pPr>
              <w:keepNext/>
              <w:rPr>
                <w:rFonts w:cs="Times New Roman"/>
                <w:sz w:val="16"/>
                <w:szCs w:val="16"/>
              </w:rPr>
            </w:pPr>
            <w:r>
              <w:rPr>
                <w:rFonts w:cs="Times New Roman"/>
                <w:sz w:val="16"/>
                <w:szCs w:val="16"/>
              </w:rPr>
              <w:t>67.2</w:t>
            </w:r>
          </w:p>
        </w:tc>
        <w:tc>
          <w:tcPr>
            <w:tcW w:w="1252" w:type="dxa"/>
            <w:vAlign w:val="center"/>
          </w:tcPr>
          <w:p w14:paraId="4F4D884E" w14:textId="77777777" w:rsidR="00374D49" w:rsidRDefault="00374D49">
            <w:pPr>
              <w:keepNext/>
              <w:rPr>
                <w:rFonts w:cs="Times New Roman"/>
                <w:sz w:val="16"/>
                <w:szCs w:val="16"/>
              </w:rPr>
            </w:pPr>
            <w:r>
              <w:rPr>
                <w:rFonts w:cs="Times New Roman"/>
                <w:sz w:val="16"/>
                <w:szCs w:val="16"/>
              </w:rPr>
              <w:t>49.6</w:t>
            </w:r>
          </w:p>
        </w:tc>
      </w:tr>
      <w:tr w:rsidR="00374D49" w14:paraId="1D546E07" w14:textId="77777777">
        <w:trPr>
          <w:cantSplit/>
        </w:trPr>
        <w:tc>
          <w:tcPr>
            <w:tcW w:w="1440" w:type="dxa"/>
            <w:vAlign w:val="center"/>
          </w:tcPr>
          <w:p w14:paraId="1034B75D" w14:textId="77777777" w:rsidR="00374D49" w:rsidRDefault="00374D49">
            <w:pPr>
              <w:keepNext/>
              <w:rPr>
                <w:rFonts w:cs="Times New Roman"/>
                <w:sz w:val="16"/>
                <w:szCs w:val="16"/>
              </w:rPr>
            </w:pPr>
            <w:r>
              <w:rPr>
                <w:rFonts w:cs="Times New Roman"/>
                <w:sz w:val="16"/>
                <w:szCs w:val="16"/>
              </w:rPr>
              <w:t>Kaduna</w:t>
            </w:r>
          </w:p>
        </w:tc>
        <w:tc>
          <w:tcPr>
            <w:tcW w:w="1440" w:type="dxa"/>
            <w:vAlign w:val="center"/>
          </w:tcPr>
          <w:p w14:paraId="516B1EDC"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58BC0FB" w14:textId="77777777" w:rsidR="00374D49" w:rsidRDefault="00374D49">
            <w:pPr>
              <w:keepNext/>
              <w:rPr>
                <w:rFonts w:cs="Times New Roman"/>
                <w:sz w:val="16"/>
                <w:szCs w:val="16"/>
              </w:rPr>
            </w:pPr>
            <w:r>
              <w:rPr>
                <w:rFonts w:cs="Times New Roman"/>
                <w:sz w:val="16"/>
                <w:szCs w:val="16"/>
              </w:rPr>
              <w:t>139,578</w:t>
            </w:r>
          </w:p>
        </w:tc>
        <w:tc>
          <w:tcPr>
            <w:tcW w:w="1007" w:type="dxa"/>
            <w:vAlign w:val="center"/>
          </w:tcPr>
          <w:p w14:paraId="2D77159B" w14:textId="77777777" w:rsidR="00374D49" w:rsidRDefault="00374D49">
            <w:pPr>
              <w:keepNext/>
              <w:rPr>
                <w:rFonts w:cs="Times New Roman"/>
                <w:sz w:val="16"/>
                <w:szCs w:val="16"/>
              </w:rPr>
            </w:pPr>
            <w:r>
              <w:rPr>
                <w:rFonts w:cs="Times New Roman"/>
                <w:sz w:val="16"/>
                <w:szCs w:val="16"/>
              </w:rPr>
              <w:t>42.0</w:t>
            </w:r>
          </w:p>
        </w:tc>
        <w:tc>
          <w:tcPr>
            <w:tcW w:w="1440" w:type="dxa"/>
            <w:vAlign w:val="center"/>
          </w:tcPr>
          <w:p w14:paraId="4C84AC88" w14:textId="77777777" w:rsidR="00374D49" w:rsidRDefault="00374D49">
            <w:pPr>
              <w:keepNext/>
              <w:rPr>
                <w:rFonts w:cs="Times New Roman"/>
                <w:sz w:val="16"/>
                <w:szCs w:val="16"/>
              </w:rPr>
            </w:pPr>
            <w:r>
              <w:rPr>
                <w:rFonts w:cs="Times New Roman"/>
                <w:sz w:val="16"/>
                <w:szCs w:val="16"/>
              </w:rPr>
              <w:t>119,060</w:t>
            </w:r>
          </w:p>
        </w:tc>
        <w:tc>
          <w:tcPr>
            <w:tcW w:w="1007" w:type="dxa"/>
            <w:vAlign w:val="center"/>
          </w:tcPr>
          <w:p w14:paraId="18DBB35A" w14:textId="77777777" w:rsidR="00374D49" w:rsidRDefault="00374D49">
            <w:pPr>
              <w:keepNext/>
              <w:rPr>
                <w:rFonts w:cs="Times New Roman"/>
                <w:sz w:val="16"/>
                <w:szCs w:val="16"/>
              </w:rPr>
            </w:pPr>
            <w:r>
              <w:rPr>
                <w:rFonts w:cs="Times New Roman"/>
                <w:sz w:val="16"/>
                <w:szCs w:val="16"/>
              </w:rPr>
              <w:t>37.3</w:t>
            </w:r>
          </w:p>
        </w:tc>
        <w:tc>
          <w:tcPr>
            <w:tcW w:w="1252" w:type="dxa"/>
            <w:vAlign w:val="center"/>
          </w:tcPr>
          <w:p w14:paraId="3F7C4449" w14:textId="77777777" w:rsidR="00374D49" w:rsidRDefault="00374D49">
            <w:pPr>
              <w:keepNext/>
              <w:rPr>
                <w:rFonts w:cs="Times New Roman"/>
                <w:sz w:val="16"/>
                <w:szCs w:val="16"/>
              </w:rPr>
            </w:pPr>
            <w:r>
              <w:rPr>
                <w:rFonts w:cs="Times New Roman"/>
                <w:sz w:val="16"/>
                <w:szCs w:val="16"/>
              </w:rPr>
              <w:t>45.2</w:t>
            </w:r>
          </w:p>
        </w:tc>
      </w:tr>
      <w:tr w:rsidR="00374D49" w14:paraId="7DAC2C5B"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B0DBD49" w14:textId="77777777" w:rsidR="00374D49" w:rsidRDefault="00374D49">
            <w:pPr>
              <w:keepNext/>
              <w:rPr>
                <w:rFonts w:cs="Times New Roman"/>
                <w:sz w:val="16"/>
                <w:szCs w:val="16"/>
              </w:rPr>
            </w:pPr>
            <w:r>
              <w:rPr>
                <w:rFonts w:cs="Times New Roman"/>
                <w:sz w:val="16"/>
                <w:szCs w:val="16"/>
              </w:rPr>
              <w:t>Jigawa</w:t>
            </w:r>
          </w:p>
        </w:tc>
        <w:tc>
          <w:tcPr>
            <w:tcW w:w="1440" w:type="dxa"/>
            <w:vAlign w:val="center"/>
          </w:tcPr>
          <w:p w14:paraId="692382F1" w14:textId="77777777" w:rsidR="00374D49" w:rsidRDefault="00374D49">
            <w:pPr>
              <w:keepNext/>
              <w:rPr>
                <w:rFonts w:cs="Times New Roman"/>
                <w:sz w:val="16"/>
                <w:szCs w:val="16"/>
              </w:rPr>
            </w:pPr>
            <w:r>
              <w:rPr>
                <w:rFonts w:cs="Times New Roman"/>
                <w:sz w:val="16"/>
                <w:szCs w:val="16"/>
              </w:rPr>
              <w:t>North West</w:t>
            </w:r>
          </w:p>
        </w:tc>
        <w:tc>
          <w:tcPr>
            <w:tcW w:w="1440" w:type="dxa"/>
            <w:vAlign w:val="center"/>
          </w:tcPr>
          <w:p w14:paraId="12634732" w14:textId="77777777" w:rsidR="00374D49" w:rsidRDefault="00374D49">
            <w:pPr>
              <w:keepNext/>
              <w:rPr>
                <w:rFonts w:cs="Times New Roman"/>
                <w:sz w:val="16"/>
                <w:szCs w:val="16"/>
              </w:rPr>
            </w:pPr>
            <w:r>
              <w:rPr>
                <w:rFonts w:cs="Times New Roman"/>
                <w:sz w:val="16"/>
                <w:szCs w:val="16"/>
              </w:rPr>
              <w:t>106,264</w:t>
            </w:r>
          </w:p>
        </w:tc>
        <w:tc>
          <w:tcPr>
            <w:tcW w:w="1007" w:type="dxa"/>
            <w:vAlign w:val="center"/>
          </w:tcPr>
          <w:p w14:paraId="05AF155F" w14:textId="77777777" w:rsidR="00374D49" w:rsidRDefault="00374D49">
            <w:pPr>
              <w:keepNext/>
              <w:rPr>
                <w:rFonts w:cs="Times New Roman"/>
                <w:sz w:val="16"/>
                <w:szCs w:val="16"/>
              </w:rPr>
            </w:pPr>
            <w:r>
              <w:rPr>
                <w:rFonts w:cs="Times New Roman"/>
                <w:sz w:val="16"/>
                <w:szCs w:val="16"/>
              </w:rPr>
              <w:t>34.8</w:t>
            </w:r>
          </w:p>
        </w:tc>
        <w:tc>
          <w:tcPr>
            <w:tcW w:w="1440" w:type="dxa"/>
            <w:vAlign w:val="center"/>
          </w:tcPr>
          <w:p w14:paraId="28D38693" w14:textId="77777777" w:rsidR="00374D49" w:rsidRDefault="00374D49">
            <w:pPr>
              <w:keepNext/>
              <w:rPr>
                <w:rFonts w:cs="Times New Roman"/>
                <w:sz w:val="16"/>
                <w:szCs w:val="16"/>
              </w:rPr>
            </w:pPr>
            <w:r>
              <w:rPr>
                <w:rFonts w:cs="Times New Roman"/>
                <w:sz w:val="16"/>
                <w:szCs w:val="16"/>
              </w:rPr>
              <w:t>117,518</w:t>
            </w:r>
          </w:p>
        </w:tc>
        <w:tc>
          <w:tcPr>
            <w:tcW w:w="1007" w:type="dxa"/>
            <w:vAlign w:val="center"/>
          </w:tcPr>
          <w:p w14:paraId="55DE7D8F" w14:textId="77777777" w:rsidR="00374D49" w:rsidRDefault="00374D49">
            <w:pPr>
              <w:keepNext/>
              <w:rPr>
                <w:rFonts w:cs="Times New Roman"/>
                <w:sz w:val="16"/>
                <w:szCs w:val="16"/>
              </w:rPr>
            </w:pPr>
            <w:r>
              <w:rPr>
                <w:rFonts w:cs="Times New Roman"/>
                <w:sz w:val="16"/>
                <w:szCs w:val="16"/>
              </w:rPr>
              <w:t>38.5</w:t>
            </w:r>
          </w:p>
        </w:tc>
        <w:tc>
          <w:tcPr>
            <w:tcW w:w="1252" w:type="dxa"/>
            <w:vAlign w:val="center"/>
          </w:tcPr>
          <w:p w14:paraId="5383ADB7" w14:textId="77777777" w:rsidR="00374D49" w:rsidRDefault="00374D49">
            <w:pPr>
              <w:keepNext/>
              <w:rPr>
                <w:rFonts w:cs="Times New Roman"/>
                <w:sz w:val="16"/>
                <w:szCs w:val="16"/>
              </w:rPr>
            </w:pPr>
            <w:r>
              <w:rPr>
                <w:rFonts w:cs="Times New Roman"/>
                <w:sz w:val="16"/>
                <w:szCs w:val="16"/>
              </w:rPr>
              <w:t>29.2</w:t>
            </w:r>
          </w:p>
        </w:tc>
      </w:tr>
      <w:tr w:rsidR="00374D49" w14:paraId="158279BE" w14:textId="77777777">
        <w:trPr>
          <w:cantSplit/>
        </w:trPr>
        <w:tc>
          <w:tcPr>
            <w:tcW w:w="1440" w:type="dxa"/>
            <w:vAlign w:val="center"/>
          </w:tcPr>
          <w:p w14:paraId="512E87F5" w14:textId="77777777" w:rsidR="00374D49" w:rsidRDefault="00374D49">
            <w:pPr>
              <w:keepNext/>
              <w:rPr>
                <w:rFonts w:cs="Times New Roman"/>
                <w:sz w:val="16"/>
                <w:szCs w:val="16"/>
              </w:rPr>
            </w:pPr>
            <w:r>
              <w:rPr>
                <w:rFonts w:cs="Times New Roman"/>
                <w:sz w:val="16"/>
                <w:szCs w:val="16"/>
              </w:rPr>
              <w:t>Bauchi</w:t>
            </w:r>
          </w:p>
        </w:tc>
        <w:tc>
          <w:tcPr>
            <w:tcW w:w="1440" w:type="dxa"/>
            <w:vAlign w:val="center"/>
          </w:tcPr>
          <w:p w14:paraId="0122A73C"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9766B7C" w14:textId="77777777" w:rsidR="00374D49" w:rsidRDefault="00374D49">
            <w:pPr>
              <w:keepNext/>
              <w:rPr>
                <w:rFonts w:cs="Times New Roman"/>
                <w:sz w:val="16"/>
                <w:szCs w:val="16"/>
              </w:rPr>
            </w:pPr>
            <w:r>
              <w:rPr>
                <w:rFonts w:cs="Times New Roman"/>
                <w:sz w:val="16"/>
                <w:szCs w:val="16"/>
              </w:rPr>
              <w:t>111,948</w:t>
            </w:r>
          </w:p>
        </w:tc>
        <w:tc>
          <w:tcPr>
            <w:tcW w:w="1007" w:type="dxa"/>
            <w:vAlign w:val="center"/>
          </w:tcPr>
          <w:p w14:paraId="3F0640DA" w14:textId="77777777" w:rsidR="00374D49" w:rsidRDefault="00374D49">
            <w:pPr>
              <w:keepNext/>
              <w:rPr>
                <w:rFonts w:cs="Times New Roman"/>
                <w:sz w:val="16"/>
                <w:szCs w:val="16"/>
              </w:rPr>
            </w:pPr>
            <w:r>
              <w:rPr>
                <w:rFonts w:cs="Times New Roman"/>
                <w:sz w:val="16"/>
                <w:szCs w:val="16"/>
              </w:rPr>
              <w:t>33.3</w:t>
            </w:r>
          </w:p>
        </w:tc>
        <w:tc>
          <w:tcPr>
            <w:tcW w:w="1440" w:type="dxa"/>
            <w:vAlign w:val="center"/>
          </w:tcPr>
          <w:p w14:paraId="6DF2B123" w14:textId="77777777" w:rsidR="00374D49" w:rsidRDefault="00374D49">
            <w:pPr>
              <w:keepNext/>
              <w:rPr>
                <w:rFonts w:cs="Times New Roman"/>
                <w:sz w:val="16"/>
                <w:szCs w:val="16"/>
              </w:rPr>
            </w:pPr>
            <w:r>
              <w:rPr>
                <w:rFonts w:cs="Times New Roman"/>
                <w:sz w:val="16"/>
                <w:szCs w:val="16"/>
              </w:rPr>
              <w:t>118,781</w:t>
            </w:r>
          </w:p>
        </w:tc>
        <w:tc>
          <w:tcPr>
            <w:tcW w:w="1007" w:type="dxa"/>
            <w:vAlign w:val="center"/>
          </w:tcPr>
          <w:p w14:paraId="12828E3E" w14:textId="77777777" w:rsidR="00374D49" w:rsidRDefault="00374D49">
            <w:pPr>
              <w:keepNext/>
              <w:rPr>
                <w:rFonts w:cs="Times New Roman"/>
                <w:sz w:val="16"/>
                <w:szCs w:val="16"/>
              </w:rPr>
            </w:pPr>
            <w:r>
              <w:rPr>
                <w:rFonts w:cs="Times New Roman"/>
                <w:sz w:val="16"/>
                <w:szCs w:val="16"/>
              </w:rPr>
              <w:t>36.2</w:t>
            </w:r>
          </w:p>
        </w:tc>
        <w:tc>
          <w:tcPr>
            <w:tcW w:w="1252" w:type="dxa"/>
            <w:vAlign w:val="center"/>
          </w:tcPr>
          <w:p w14:paraId="3597A42F" w14:textId="77777777" w:rsidR="00374D49" w:rsidRDefault="00374D49">
            <w:pPr>
              <w:keepNext/>
              <w:rPr>
                <w:rFonts w:cs="Times New Roman"/>
                <w:sz w:val="16"/>
                <w:szCs w:val="16"/>
              </w:rPr>
            </w:pPr>
            <w:r>
              <w:rPr>
                <w:rFonts w:cs="Times New Roman"/>
                <w:sz w:val="16"/>
                <w:szCs w:val="16"/>
              </w:rPr>
              <w:t>45.3</w:t>
            </w:r>
          </w:p>
        </w:tc>
      </w:tr>
      <w:tr w:rsidR="00374D49" w14:paraId="6B5529A9"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9851942" w14:textId="77777777" w:rsidR="00374D49" w:rsidRDefault="00374D49">
            <w:pPr>
              <w:keepNext/>
              <w:rPr>
                <w:rFonts w:cs="Times New Roman"/>
                <w:sz w:val="16"/>
                <w:szCs w:val="16"/>
              </w:rPr>
            </w:pPr>
            <w:r>
              <w:rPr>
                <w:rFonts w:cs="Times New Roman"/>
                <w:sz w:val="16"/>
                <w:szCs w:val="16"/>
              </w:rPr>
              <w:t>Borno</w:t>
            </w:r>
          </w:p>
        </w:tc>
        <w:tc>
          <w:tcPr>
            <w:tcW w:w="1440" w:type="dxa"/>
            <w:vAlign w:val="center"/>
          </w:tcPr>
          <w:p w14:paraId="1226CB6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7555DA66" w14:textId="77777777" w:rsidR="00374D49" w:rsidRDefault="00374D49">
            <w:pPr>
              <w:keepNext/>
              <w:rPr>
                <w:rFonts w:cs="Times New Roman"/>
                <w:sz w:val="16"/>
                <w:szCs w:val="16"/>
              </w:rPr>
            </w:pPr>
            <w:r>
              <w:rPr>
                <w:rFonts w:cs="Times New Roman"/>
                <w:sz w:val="16"/>
                <w:szCs w:val="16"/>
              </w:rPr>
              <w:t>60,604</w:t>
            </w:r>
          </w:p>
        </w:tc>
        <w:tc>
          <w:tcPr>
            <w:tcW w:w="1007" w:type="dxa"/>
            <w:vAlign w:val="center"/>
          </w:tcPr>
          <w:p w14:paraId="79A86CCB" w14:textId="77777777" w:rsidR="00374D49" w:rsidRDefault="00374D49">
            <w:pPr>
              <w:keepNext/>
              <w:rPr>
                <w:rFonts w:cs="Times New Roman"/>
                <w:sz w:val="16"/>
                <w:szCs w:val="16"/>
              </w:rPr>
            </w:pPr>
            <w:r>
              <w:rPr>
                <w:rFonts w:cs="Times New Roman"/>
                <w:sz w:val="16"/>
                <w:szCs w:val="16"/>
              </w:rPr>
              <w:t>30.3</w:t>
            </w:r>
          </w:p>
        </w:tc>
        <w:tc>
          <w:tcPr>
            <w:tcW w:w="1440" w:type="dxa"/>
            <w:vAlign w:val="center"/>
          </w:tcPr>
          <w:p w14:paraId="4D629DC2" w14:textId="77777777" w:rsidR="00374D49" w:rsidRDefault="00374D49">
            <w:pPr>
              <w:keepNext/>
              <w:rPr>
                <w:rFonts w:cs="Times New Roman"/>
                <w:sz w:val="16"/>
                <w:szCs w:val="16"/>
              </w:rPr>
            </w:pPr>
            <w:r>
              <w:rPr>
                <w:rFonts w:cs="Times New Roman"/>
                <w:sz w:val="16"/>
                <w:szCs w:val="16"/>
              </w:rPr>
              <w:t>70,746</w:t>
            </w:r>
          </w:p>
        </w:tc>
        <w:tc>
          <w:tcPr>
            <w:tcW w:w="1007" w:type="dxa"/>
            <w:vAlign w:val="center"/>
          </w:tcPr>
          <w:p w14:paraId="5B4AF89C" w14:textId="77777777" w:rsidR="00374D49" w:rsidRDefault="00374D49">
            <w:pPr>
              <w:keepNext/>
              <w:rPr>
                <w:rFonts w:cs="Times New Roman"/>
                <w:sz w:val="16"/>
                <w:szCs w:val="16"/>
              </w:rPr>
            </w:pPr>
            <w:r>
              <w:rPr>
                <w:rFonts w:cs="Times New Roman"/>
                <w:sz w:val="16"/>
                <w:szCs w:val="16"/>
              </w:rPr>
              <w:t>39.1</w:t>
            </w:r>
          </w:p>
        </w:tc>
        <w:tc>
          <w:tcPr>
            <w:tcW w:w="1252" w:type="dxa"/>
            <w:vAlign w:val="center"/>
          </w:tcPr>
          <w:p w14:paraId="66307068" w14:textId="77777777" w:rsidR="00374D49" w:rsidRDefault="00374D49">
            <w:pPr>
              <w:keepNext/>
              <w:rPr>
                <w:rFonts w:cs="Times New Roman"/>
                <w:sz w:val="16"/>
                <w:szCs w:val="16"/>
              </w:rPr>
            </w:pPr>
            <w:r>
              <w:rPr>
                <w:rFonts w:cs="Times New Roman"/>
                <w:sz w:val="16"/>
                <w:szCs w:val="16"/>
              </w:rPr>
              <w:t>41.2</w:t>
            </w:r>
          </w:p>
        </w:tc>
      </w:tr>
      <w:tr w:rsidR="00374D49" w14:paraId="412923CB" w14:textId="77777777">
        <w:trPr>
          <w:cantSplit/>
        </w:trPr>
        <w:tc>
          <w:tcPr>
            <w:tcW w:w="1440" w:type="dxa"/>
            <w:vAlign w:val="center"/>
          </w:tcPr>
          <w:p w14:paraId="3D2C171B" w14:textId="77777777" w:rsidR="00374D49" w:rsidRDefault="00374D49">
            <w:pPr>
              <w:keepNext/>
              <w:rPr>
                <w:rFonts w:cs="Times New Roman"/>
                <w:sz w:val="16"/>
                <w:szCs w:val="16"/>
              </w:rPr>
            </w:pPr>
            <w:r>
              <w:rPr>
                <w:rFonts w:cs="Times New Roman"/>
                <w:sz w:val="16"/>
                <w:szCs w:val="16"/>
              </w:rPr>
              <w:t>Gombe</w:t>
            </w:r>
          </w:p>
        </w:tc>
        <w:tc>
          <w:tcPr>
            <w:tcW w:w="1440" w:type="dxa"/>
            <w:vAlign w:val="center"/>
          </w:tcPr>
          <w:p w14:paraId="5F7F311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2D8A0CE1" w14:textId="77777777" w:rsidR="00374D49" w:rsidRDefault="00374D49">
            <w:pPr>
              <w:keepNext/>
              <w:rPr>
                <w:rFonts w:cs="Times New Roman"/>
                <w:sz w:val="16"/>
                <w:szCs w:val="16"/>
              </w:rPr>
            </w:pPr>
            <w:r>
              <w:rPr>
                <w:rFonts w:cs="Times New Roman"/>
                <w:sz w:val="16"/>
                <w:szCs w:val="16"/>
              </w:rPr>
              <w:t>50,128</w:t>
            </w:r>
          </w:p>
        </w:tc>
        <w:tc>
          <w:tcPr>
            <w:tcW w:w="1007" w:type="dxa"/>
            <w:vAlign w:val="center"/>
          </w:tcPr>
          <w:p w14:paraId="241CD3F4" w14:textId="77777777" w:rsidR="00374D49" w:rsidRDefault="00374D49">
            <w:pPr>
              <w:keepNext/>
              <w:rPr>
                <w:rFonts w:cs="Times New Roman"/>
                <w:sz w:val="16"/>
                <w:szCs w:val="16"/>
              </w:rPr>
            </w:pPr>
            <w:r>
              <w:rPr>
                <w:rFonts w:cs="Times New Roman"/>
                <w:sz w:val="16"/>
                <w:szCs w:val="16"/>
              </w:rPr>
              <w:t>34.2</w:t>
            </w:r>
          </w:p>
        </w:tc>
        <w:tc>
          <w:tcPr>
            <w:tcW w:w="1440" w:type="dxa"/>
            <w:vAlign w:val="center"/>
          </w:tcPr>
          <w:p w14:paraId="00FC04AC" w14:textId="77777777" w:rsidR="00374D49" w:rsidRDefault="00374D49">
            <w:pPr>
              <w:keepNext/>
              <w:rPr>
                <w:rFonts w:cs="Times New Roman"/>
                <w:sz w:val="16"/>
                <w:szCs w:val="16"/>
              </w:rPr>
            </w:pPr>
            <w:r>
              <w:rPr>
                <w:rFonts w:cs="Times New Roman"/>
                <w:sz w:val="16"/>
                <w:szCs w:val="16"/>
              </w:rPr>
              <w:t>57,947</w:t>
            </w:r>
          </w:p>
        </w:tc>
        <w:tc>
          <w:tcPr>
            <w:tcW w:w="1007" w:type="dxa"/>
            <w:vAlign w:val="center"/>
          </w:tcPr>
          <w:p w14:paraId="5F4BE378" w14:textId="77777777" w:rsidR="00374D49" w:rsidRDefault="00374D49">
            <w:pPr>
              <w:keepNext/>
              <w:rPr>
                <w:rFonts w:cs="Times New Roman"/>
                <w:sz w:val="16"/>
                <w:szCs w:val="16"/>
              </w:rPr>
            </w:pPr>
            <w:r>
              <w:rPr>
                <w:rFonts w:cs="Times New Roman"/>
                <w:sz w:val="16"/>
                <w:szCs w:val="16"/>
              </w:rPr>
              <w:t>39.6</w:t>
            </w:r>
          </w:p>
        </w:tc>
        <w:tc>
          <w:tcPr>
            <w:tcW w:w="1252" w:type="dxa"/>
            <w:vAlign w:val="center"/>
          </w:tcPr>
          <w:p w14:paraId="7D625A24" w14:textId="77777777" w:rsidR="00374D49" w:rsidRDefault="00374D49">
            <w:pPr>
              <w:keepNext/>
              <w:rPr>
                <w:rFonts w:cs="Times New Roman"/>
                <w:sz w:val="16"/>
                <w:szCs w:val="16"/>
              </w:rPr>
            </w:pPr>
            <w:r>
              <w:rPr>
                <w:rFonts w:cs="Times New Roman"/>
                <w:sz w:val="16"/>
                <w:szCs w:val="16"/>
              </w:rPr>
              <w:t>29.2</w:t>
            </w:r>
          </w:p>
        </w:tc>
      </w:tr>
      <w:tr w:rsidR="00374D49" w14:paraId="62BAE316"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624F0161" w14:textId="77777777" w:rsidR="00374D49" w:rsidRDefault="00374D49">
            <w:pPr>
              <w:keepNext/>
              <w:rPr>
                <w:rFonts w:cs="Times New Roman"/>
                <w:sz w:val="16"/>
                <w:szCs w:val="16"/>
              </w:rPr>
            </w:pPr>
            <w:r>
              <w:rPr>
                <w:rFonts w:cs="Times New Roman"/>
                <w:sz w:val="16"/>
                <w:szCs w:val="16"/>
              </w:rPr>
              <w:t>Yobe</w:t>
            </w:r>
          </w:p>
        </w:tc>
        <w:tc>
          <w:tcPr>
            <w:tcW w:w="1440" w:type="dxa"/>
            <w:vAlign w:val="center"/>
          </w:tcPr>
          <w:p w14:paraId="0BF4CFE4"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49D815A6" w14:textId="77777777" w:rsidR="00374D49" w:rsidRDefault="00374D49">
            <w:pPr>
              <w:keepNext/>
              <w:rPr>
                <w:rFonts w:cs="Times New Roman"/>
                <w:sz w:val="16"/>
                <w:szCs w:val="16"/>
              </w:rPr>
            </w:pPr>
            <w:r>
              <w:rPr>
                <w:rFonts w:cs="Times New Roman"/>
                <w:sz w:val="16"/>
                <w:szCs w:val="16"/>
              </w:rPr>
              <w:t>43,282</w:t>
            </w:r>
          </w:p>
        </w:tc>
        <w:tc>
          <w:tcPr>
            <w:tcW w:w="1007" w:type="dxa"/>
            <w:vAlign w:val="center"/>
          </w:tcPr>
          <w:p w14:paraId="01C36783" w14:textId="77777777" w:rsidR="00374D49" w:rsidRDefault="00374D49">
            <w:pPr>
              <w:keepNext/>
              <w:rPr>
                <w:rFonts w:cs="Times New Roman"/>
                <w:sz w:val="16"/>
                <w:szCs w:val="16"/>
              </w:rPr>
            </w:pPr>
            <w:r>
              <w:rPr>
                <w:rFonts w:cs="Times New Roman"/>
                <w:sz w:val="16"/>
                <w:szCs w:val="16"/>
              </w:rPr>
              <w:t>35.3</w:t>
            </w:r>
          </w:p>
        </w:tc>
        <w:tc>
          <w:tcPr>
            <w:tcW w:w="1440" w:type="dxa"/>
            <w:vAlign w:val="center"/>
          </w:tcPr>
          <w:p w14:paraId="4066B6C6" w14:textId="77777777" w:rsidR="00374D49" w:rsidRDefault="00374D49">
            <w:pPr>
              <w:keepNext/>
              <w:rPr>
                <w:rFonts w:cs="Times New Roman"/>
                <w:sz w:val="16"/>
                <w:szCs w:val="16"/>
              </w:rPr>
            </w:pPr>
            <w:r>
              <w:rPr>
                <w:rFonts w:cs="Times New Roman"/>
                <w:sz w:val="16"/>
                <w:szCs w:val="16"/>
              </w:rPr>
              <w:t>53,059</w:t>
            </w:r>
          </w:p>
        </w:tc>
        <w:tc>
          <w:tcPr>
            <w:tcW w:w="1007" w:type="dxa"/>
            <w:vAlign w:val="center"/>
          </w:tcPr>
          <w:p w14:paraId="3F7EADE3" w14:textId="77777777" w:rsidR="00374D49" w:rsidRDefault="00374D49">
            <w:pPr>
              <w:keepNext/>
              <w:rPr>
                <w:rFonts w:cs="Times New Roman"/>
                <w:sz w:val="16"/>
                <w:szCs w:val="16"/>
              </w:rPr>
            </w:pPr>
            <w:r>
              <w:rPr>
                <w:rFonts w:cs="Times New Roman"/>
                <w:sz w:val="16"/>
                <w:szCs w:val="16"/>
              </w:rPr>
              <w:t>43.8</w:t>
            </w:r>
          </w:p>
        </w:tc>
        <w:tc>
          <w:tcPr>
            <w:tcW w:w="1252" w:type="dxa"/>
            <w:vAlign w:val="center"/>
          </w:tcPr>
          <w:p w14:paraId="79E1B3C7" w14:textId="77777777" w:rsidR="00374D49" w:rsidRDefault="00374D49">
            <w:pPr>
              <w:keepNext/>
              <w:rPr>
                <w:rFonts w:cs="Times New Roman"/>
                <w:sz w:val="16"/>
                <w:szCs w:val="16"/>
              </w:rPr>
            </w:pPr>
            <w:r>
              <w:rPr>
                <w:rFonts w:cs="Times New Roman"/>
                <w:sz w:val="16"/>
                <w:szCs w:val="16"/>
              </w:rPr>
              <w:t>42.1</w:t>
            </w:r>
          </w:p>
        </w:tc>
      </w:tr>
      <w:tr w:rsidR="00374D49" w14:paraId="24BA4858" w14:textId="77777777">
        <w:trPr>
          <w:cantSplit/>
        </w:trPr>
        <w:tc>
          <w:tcPr>
            <w:tcW w:w="1440" w:type="dxa"/>
            <w:vAlign w:val="center"/>
          </w:tcPr>
          <w:p w14:paraId="36A69E55" w14:textId="77777777" w:rsidR="00374D49" w:rsidRDefault="00374D49">
            <w:pPr>
              <w:keepNext/>
              <w:rPr>
                <w:rFonts w:cs="Times New Roman"/>
                <w:sz w:val="16"/>
                <w:szCs w:val="16"/>
              </w:rPr>
            </w:pPr>
            <w:r>
              <w:rPr>
                <w:rFonts w:cs="Times New Roman"/>
                <w:sz w:val="16"/>
                <w:szCs w:val="16"/>
              </w:rPr>
              <w:t>Taraba</w:t>
            </w:r>
          </w:p>
        </w:tc>
        <w:tc>
          <w:tcPr>
            <w:tcW w:w="1440" w:type="dxa"/>
            <w:vAlign w:val="center"/>
          </w:tcPr>
          <w:p w14:paraId="3114E677"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09DA36EE" w14:textId="77777777" w:rsidR="00374D49" w:rsidRDefault="00374D49">
            <w:pPr>
              <w:keepNext/>
              <w:rPr>
                <w:rFonts w:cs="Times New Roman"/>
                <w:sz w:val="16"/>
                <w:szCs w:val="16"/>
              </w:rPr>
            </w:pPr>
            <w:r>
              <w:rPr>
                <w:rFonts w:cs="Times New Roman"/>
                <w:sz w:val="16"/>
                <w:szCs w:val="16"/>
              </w:rPr>
              <w:t>35,731</w:t>
            </w:r>
          </w:p>
        </w:tc>
        <w:tc>
          <w:tcPr>
            <w:tcW w:w="1007" w:type="dxa"/>
            <w:vAlign w:val="center"/>
          </w:tcPr>
          <w:p w14:paraId="1379F7D2" w14:textId="77777777" w:rsidR="00374D49" w:rsidRDefault="00374D49">
            <w:pPr>
              <w:keepNext/>
              <w:rPr>
                <w:rFonts w:cs="Times New Roman"/>
                <w:sz w:val="16"/>
                <w:szCs w:val="16"/>
              </w:rPr>
            </w:pPr>
            <w:r>
              <w:rPr>
                <w:rFonts w:cs="Times New Roman"/>
                <w:sz w:val="16"/>
                <w:szCs w:val="16"/>
              </w:rPr>
              <w:t>29.2</w:t>
            </w:r>
          </w:p>
        </w:tc>
        <w:tc>
          <w:tcPr>
            <w:tcW w:w="1440" w:type="dxa"/>
            <w:vAlign w:val="center"/>
          </w:tcPr>
          <w:p w14:paraId="4924DEF9" w14:textId="77777777" w:rsidR="00374D49" w:rsidRDefault="00374D49">
            <w:pPr>
              <w:keepNext/>
              <w:rPr>
                <w:rFonts w:cs="Times New Roman"/>
                <w:sz w:val="16"/>
                <w:szCs w:val="16"/>
              </w:rPr>
            </w:pPr>
            <w:r>
              <w:rPr>
                <w:rFonts w:cs="Times New Roman"/>
                <w:sz w:val="16"/>
                <w:szCs w:val="16"/>
              </w:rPr>
              <w:t>34,085</w:t>
            </w:r>
          </w:p>
        </w:tc>
        <w:tc>
          <w:tcPr>
            <w:tcW w:w="1007" w:type="dxa"/>
            <w:vAlign w:val="center"/>
          </w:tcPr>
          <w:p w14:paraId="268ACC54" w14:textId="77777777" w:rsidR="00374D49" w:rsidRDefault="00374D49">
            <w:pPr>
              <w:keepNext/>
              <w:rPr>
                <w:rFonts w:cs="Times New Roman"/>
                <w:sz w:val="16"/>
                <w:szCs w:val="16"/>
              </w:rPr>
            </w:pPr>
            <w:r>
              <w:rPr>
                <w:rFonts w:cs="Times New Roman"/>
                <w:sz w:val="16"/>
                <w:szCs w:val="16"/>
              </w:rPr>
              <w:t>27.9</w:t>
            </w:r>
          </w:p>
        </w:tc>
        <w:tc>
          <w:tcPr>
            <w:tcW w:w="1252" w:type="dxa"/>
            <w:vAlign w:val="center"/>
          </w:tcPr>
          <w:p w14:paraId="35CD6C23" w14:textId="77777777" w:rsidR="00374D49" w:rsidRDefault="00374D49">
            <w:pPr>
              <w:keepNext/>
              <w:rPr>
                <w:rFonts w:cs="Times New Roman"/>
                <w:sz w:val="16"/>
                <w:szCs w:val="16"/>
              </w:rPr>
            </w:pPr>
            <w:r>
              <w:rPr>
                <w:rFonts w:cs="Times New Roman"/>
                <w:sz w:val="16"/>
                <w:szCs w:val="16"/>
              </w:rPr>
              <w:t>38.2</w:t>
            </w:r>
          </w:p>
        </w:tc>
      </w:tr>
      <w:tr w:rsidR="00374D49" w14:paraId="52C970AF"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9761257" w14:textId="77777777" w:rsidR="00374D49" w:rsidRDefault="00374D49">
            <w:pPr>
              <w:keepNext/>
              <w:rPr>
                <w:rFonts w:cs="Times New Roman"/>
                <w:sz w:val="16"/>
                <w:szCs w:val="16"/>
              </w:rPr>
            </w:pPr>
            <w:r>
              <w:rPr>
                <w:rFonts w:cs="Times New Roman"/>
                <w:sz w:val="16"/>
                <w:szCs w:val="16"/>
              </w:rPr>
              <w:t>Adamawa</w:t>
            </w:r>
          </w:p>
        </w:tc>
        <w:tc>
          <w:tcPr>
            <w:tcW w:w="1440" w:type="dxa"/>
            <w:vAlign w:val="center"/>
          </w:tcPr>
          <w:p w14:paraId="61AA5A30" w14:textId="77777777" w:rsidR="00374D49" w:rsidRDefault="00374D49">
            <w:pPr>
              <w:keepNext/>
              <w:rPr>
                <w:rFonts w:cs="Times New Roman"/>
                <w:sz w:val="16"/>
                <w:szCs w:val="16"/>
              </w:rPr>
            </w:pPr>
            <w:r>
              <w:rPr>
                <w:rFonts w:cs="Times New Roman"/>
                <w:sz w:val="16"/>
                <w:szCs w:val="16"/>
              </w:rPr>
              <w:t>North East</w:t>
            </w:r>
          </w:p>
        </w:tc>
        <w:tc>
          <w:tcPr>
            <w:tcW w:w="1440" w:type="dxa"/>
            <w:vAlign w:val="center"/>
          </w:tcPr>
          <w:p w14:paraId="5F52C152" w14:textId="77777777" w:rsidR="00374D49" w:rsidRDefault="00374D49">
            <w:pPr>
              <w:keepNext/>
              <w:rPr>
                <w:rFonts w:cs="Times New Roman"/>
                <w:sz w:val="16"/>
                <w:szCs w:val="16"/>
              </w:rPr>
            </w:pPr>
            <w:r>
              <w:rPr>
                <w:rFonts w:cs="Times New Roman"/>
                <w:sz w:val="16"/>
                <w:szCs w:val="16"/>
              </w:rPr>
              <w:t>34,994</w:t>
            </w:r>
          </w:p>
        </w:tc>
        <w:tc>
          <w:tcPr>
            <w:tcW w:w="1007" w:type="dxa"/>
            <w:vAlign w:val="center"/>
          </w:tcPr>
          <w:p w14:paraId="04CF577C" w14:textId="77777777" w:rsidR="00374D49" w:rsidRDefault="00374D49">
            <w:pPr>
              <w:keepNext/>
              <w:rPr>
                <w:rFonts w:cs="Times New Roman"/>
                <w:sz w:val="16"/>
                <w:szCs w:val="16"/>
              </w:rPr>
            </w:pPr>
            <w:r>
              <w:rPr>
                <w:rFonts w:cs="Times New Roman"/>
                <w:sz w:val="16"/>
                <w:szCs w:val="16"/>
              </w:rPr>
              <w:t>20.1</w:t>
            </w:r>
          </w:p>
        </w:tc>
        <w:tc>
          <w:tcPr>
            <w:tcW w:w="1440" w:type="dxa"/>
            <w:vAlign w:val="center"/>
          </w:tcPr>
          <w:p w14:paraId="215BEAB8" w14:textId="77777777" w:rsidR="00374D49" w:rsidRDefault="00374D49">
            <w:pPr>
              <w:keepNext/>
              <w:rPr>
                <w:rFonts w:cs="Times New Roman"/>
                <w:sz w:val="16"/>
                <w:szCs w:val="16"/>
              </w:rPr>
            </w:pPr>
            <w:r>
              <w:rPr>
                <w:rFonts w:cs="Times New Roman"/>
                <w:sz w:val="16"/>
                <w:szCs w:val="16"/>
              </w:rPr>
              <w:t>38,275</w:t>
            </w:r>
          </w:p>
        </w:tc>
        <w:tc>
          <w:tcPr>
            <w:tcW w:w="1007" w:type="dxa"/>
            <w:vAlign w:val="center"/>
          </w:tcPr>
          <w:p w14:paraId="5E4850EF" w14:textId="77777777" w:rsidR="00374D49" w:rsidRDefault="00374D49">
            <w:pPr>
              <w:keepNext/>
              <w:rPr>
                <w:rFonts w:cs="Times New Roman"/>
                <w:sz w:val="16"/>
                <w:szCs w:val="16"/>
              </w:rPr>
            </w:pPr>
            <w:r>
              <w:rPr>
                <w:rFonts w:cs="Times New Roman"/>
                <w:sz w:val="16"/>
                <w:szCs w:val="16"/>
              </w:rPr>
              <w:t>22.0</w:t>
            </w:r>
          </w:p>
        </w:tc>
        <w:tc>
          <w:tcPr>
            <w:tcW w:w="1252" w:type="dxa"/>
            <w:vAlign w:val="center"/>
          </w:tcPr>
          <w:p w14:paraId="1755D497" w14:textId="77777777" w:rsidR="00374D49" w:rsidRDefault="00374D49">
            <w:pPr>
              <w:keepNext/>
              <w:rPr>
                <w:rFonts w:cs="Times New Roman"/>
                <w:sz w:val="16"/>
                <w:szCs w:val="16"/>
              </w:rPr>
            </w:pPr>
            <w:r>
              <w:rPr>
                <w:rFonts w:cs="Times New Roman"/>
                <w:sz w:val="16"/>
                <w:szCs w:val="16"/>
              </w:rPr>
              <w:t>26.7</w:t>
            </w:r>
          </w:p>
        </w:tc>
      </w:tr>
      <w:tr w:rsidR="00374D49" w14:paraId="4FAFC62D" w14:textId="77777777">
        <w:trPr>
          <w:cantSplit/>
        </w:trPr>
        <w:tc>
          <w:tcPr>
            <w:tcW w:w="1440" w:type="dxa"/>
            <w:vAlign w:val="center"/>
          </w:tcPr>
          <w:p w14:paraId="14F4BC86" w14:textId="77777777" w:rsidR="00374D49" w:rsidRDefault="00374D49">
            <w:pPr>
              <w:keepNext/>
              <w:rPr>
                <w:rFonts w:cs="Times New Roman"/>
                <w:sz w:val="16"/>
                <w:szCs w:val="16"/>
              </w:rPr>
            </w:pPr>
            <w:r>
              <w:rPr>
                <w:rFonts w:cs="Times New Roman"/>
                <w:sz w:val="16"/>
                <w:szCs w:val="16"/>
              </w:rPr>
              <w:t>Niger</w:t>
            </w:r>
          </w:p>
        </w:tc>
        <w:tc>
          <w:tcPr>
            <w:tcW w:w="1440" w:type="dxa"/>
            <w:vAlign w:val="center"/>
          </w:tcPr>
          <w:p w14:paraId="0BF11715"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3B0F2F29" w14:textId="77777777" w:rsidR="00374D49" w:rsidRDefault="00374D49">
            <w:pPr>
              <w:keepNext/>
              <w:rPr>
                <w:rFonts w:cs="Times New Roman"/>
                <w:sz w:val="16"/>
                <w:szCs w:val="16"/>
              </w:rPr>
            </w:pPr>
            <w:r>
              <w:rPr>
                <w:rFonts w:cs="Times New Roman"/>
                <w:sz w:val="16"/>
                <w:szCs w:val="16"/>
              </w:rPr>
              <w:t>104,030</w:t>
            </w:r>
          </w:p>
        </w:tc>
        <w:tc>
          <w:tcPr>
            <w:tcW w:w="1007" w:type="dxa"/>
            <w:vAlign w:val="center"/>
          </w:tcPr>
          <w:p w14:paraId="50910A04" w14:textId="77777777" w:rsidR="00374D49" w:rsidRDefault="00374D49">
            <w:pPr>
              <w:keepNext/>
              <w:rPr>
                <w:rFonts w:cs="Times New Roman"/>
                <w:sz w:val="16"/>
                <w:szCs w:val="16"/>
              </w:rPr>
            </w:pPr>
            <w:r>
              <w:rPr>
                <w:rFonts w:cs="Times New Roman"/>
                <w:sz w:val="16"/>
                <w:szCs w:val="16"/>
              </w:rPr>
              <w:t>45.0</w:t>
            </w:r>
          </w:p>
        </w:tc>
        <w:tc>
          <w:tcPr>
            <w:tcW w:w="1440" w:type="dxa"/>
            <w:vAlign w:val="center"/>
          </w:tcPr>
          <w:p w14:paraId="673A184A" w14:textId="77777777" w:rsidR="00374D49" w:rsidRDefault="00374D49">
            <w:pPr>
              <w:keepNext/>
              <w:rPr>
                <w:rFonts w:cs="Times New Roman"/>
                <w:sz w:val="16"/>
                <w:szCs w:val="16"/>
              </w:rPr>
            </w:pPr>
            <w:r>
              <w:rPr>
                <w:rFonts w:cs="Times New Roman"/>
                <w:sz w:val="16"/>
                <w:szCs w:val="16"/>
              </w:rPr>
              <w:t>104,633</w:t>
            </w:r>
          </w:p>
        </w:tc>
        <w:tc>
          <w:tcPr>
            <w:tcW w:w="1007" w:type="dxa"/>
            <w:vAlign w:val="center"/>
          </w:tcPr>
          <w:p w14:paraId="3AC2AABF" w14:textId="77777777" w:rsidR="00374D49" w:rsidRDefault="00374D49">
            <w:pPr>
              <w:keepNext/>
              <w:rPr>
                <w:rFonts w:cs="Times New Roman"/>
                <w:sz w:val="16"/>
                <w:szCs w:val="16"/>
              </w:rPr>
            </w:pPr>
            <w:r>
              <w:rPr>
                <w:rFonts w:cs="Times New Roman"/>
                <w:sz w:val="16"/>
                <w:szCs w:val="16"/>
              </w:rPr>
              <w:t>45.2</w:t>
            </w:r>
          </w:p>
        </w:tc>
        <w:tc>
          <w:tcPr>
            <w:tcW w:w="1252" w:type="dxa"/>
            <w:vAlign w:val="center"/>
          </w:tcPr>
          <w:p w14:paraId="591D2F63" w14:textId="77777777" w:rsidR="00374D49" w:rsidRDefault="00374D49">
            <w:pPr>
              <w:keepNext/>
              <w:rPr>
                <w:rFonts w:cs="Times New Roman"/>
                <w:sz w:val="16"/>
                <w:szCs w:val="16"/>
              </w:rPr>
            </w:pPr>
            <w:r>
              <w:rPr>
                <w:rFonts w:cs="Times New Roman"/>
                <w:sz w:val="16"/>
                <w:szCs w:val="16"/>
              </w:rPr>
              <w:t>56.8</w:t>
            </w:r>
          </w:p>
        </w:tc>
      </w:tr>
      <w:tr w:rsidR="00374D49" w14:paraId="6B1CFB2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55284B1" w14:textId="77777777" w:rsidR="00374D49" w:rsidRDefault="00374D49">
            <w:pPr>
              <w:keepNext/>
              <w:rPr>
                <w:rFonts w:cs="Times New Roman"/>
                <w:sz w:val="16"/>
                <w:szCs w:val="16"/>
              </w:rPr>
            </w:pPr>
            <w:r>
              <w:rPr>
                <w:rFonts w:cs="Times New Roman"/>
                <w:sz w:val="16"/>
                <w:szCs w:val="16"/>
              </w:rPr>
              <w:t>Benue</w:t>
            </w:r>
          </w:p>
        </w:tc>
        <w:tc>
          <w:tcPr>
            <w:tcW w:w="1440" w:type="dxa"/>
            <w:vAlign w:val="center"/>
          </w:tcPr>
          <w:p w14:paraId="69B933B2"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010112C1" w14:textId="77777777" w:rsidR="00374D49" w:rsidRDefault="00374D49">
            <w:pPr>
              <w:keepNext/>
              <w:rPr>
                <w:rFonts w:cs="Times New Roman"/>
                <w:sz w:val="16"/>
                <w:szCs w:val="16"/>
              </w:rPr>
            </w:pPr>
            <w:r>
              <w:rPr>
                <w:rFonts w:cs="Times New Roman"/>
                <w:sz w:val="16"/>
                <w:szCs w:val="16"/>
              </w:rPr>
              <w:t>52,312</w:t>
            </w:r>
          </w:p>
        </w:tc>
        <w:tc>
          <w:tcPr>
            <w:tcW w:w="1007" w:type="dxa"/>
            <w:vAlign w:val="center"/>
          </w:tcPr>
          <w:p w14:paraId="2139167C" w14:textId="77777777" w:rsidR="00374D49" w:rsidRDefault="00374D49">
            <w:pPr>
              <w:keepNext/>
              <w:rPr>
                <w:rFonts w:cs="Times New Roman"/>
                <w:sz w:val="16"/>
                <w:szCs w:val="16"/>
              </w:rPr>
            </w:pPr>
            <w:r>
              <w:rPr>
                <w:rFonts w:cs="Times New Roman"/>
                <w:sz w:val="16"/>
                <w:szCs w:val="16"/>
              </w:rPr>
              <w:t>28.9</w:t>
            </w:r>
          </w:p>
        </w:tc>
        <w:tc>
          <w:tcPr>
            <w:tcW w:w="1440" w:type="dxa"/>
            <w:vAlign w:val="center"/>
          </w:tcPr>
          <w:p w14:paraId="26205882" w14:textId="77777777" w:rsidR="00374D49" w:rsidRDefault="00374D49">
            <w:pPr>
              <w:keepNext/>
              <w:rPr>
                <w:rFonts w:cs="Times New Roman"/>
                <w:sz w:val="16"/>
                <w:szCs w:val="16"/>
              </w:rPr>
            </w:pPr>
            <w:r>
              <w:rPr>
                <w:rFonts w:cs="Times New Roman"/>
                <w:sz w:val="16"/>
                <w:szCs w:val="16"/>
              </w:rPr>
              <w:t>42,277</w:t>
            </w:r>
          </w:p>
        </w:tc>
        <w:tc>
          <w:tcPr>
            <w:tcW w:w="1007" w:type="dxa"/>
            <w:vAlign w:val="center"/>
          </w:tcPr>
          <w:p w14:paraId="41F040D1" w14:textId="77777777" w:rsidR="00374D49" w:rsidRDefault="00374D49">
            <w:pPr>
              <w:keepNext/>
              <w:rPr>
                <w:rFonts w:cs="Times New Roman"/>
                <w:sz w:val="16"/>
                <w:szCs w:val="16"/>
              </w:rPr>
            </w:pPr>
            <w:r>
              <w:rPr>
                <w:rFonts w:cs="Times New Roman"/>
                <w:sz w:val="16"/>
                <w:szCs w:val="16"/>
              </w:rPr>
              <w:t>23.6</w:t>
            </w:r>
          </w:p>
        </w:tc>
        <w:tc>
          <w:tcPr>
            <w:tcW w:w="1252" w:type="dxa"/>
            <w:vAlign w:val="center"/>
          </w:tcPr>
          <w:p w14:paraId="38F35BFE" w14:textId="77777777" w:rsidR="00374D49" w:rsidRDefault="00374D49">
            <w:pPr>
              <w:keepNext/>
              <w:rPr>
                <w:rFonts w:cs="Times New Roman"/>
                <w:sz w:val="16"/>
                <w:szCs w:val="16"/>
              </w:rPr>
            </w:pPr>
            <w:r>
              <w:rPr>
                <w:rFonts w:cs="Times New Roman"/>
                <w:sz w:val="16"/>
                <w:szCs w:val="16"/>
              </w:rPr>
              <w:t>18.7</w:t>
            </w:r>
          </w:p>
        </w:tc>
      </w:tr>
      <w:tr w:rsidR="00374D49" w14:paraId="6869E45B" w14:textId="77777777">
        <w:trPr>
          <w:cantSplit/>
        </w:trPr>
        <w:tc>
          <w:tcPr>
            <w:tcW w:w="1440" w:type="dxa"/>
            <w:vAlign w:val="center"/>
          </w:tcPr>
          <w:p w14:paraId="51DB3BB7" w14:textId="77777777" w:rsidR="00374D49" w:rsidRDefault="00374D49">
            <w:pPr>
              <w:keepNext/>
              <w:rPr>
                <w:rFonts w:cs="Times New Roman"/>
                <w:sz w:val="16"/>
                <w:szCs w:val="16"/>
              </w:rPr>
            </w:pPr>
            <w:r>
              <w:rPr>
                <w:rFonts w:cs="Times New Roman"/>
                <w:sz w:val="16"/>
                <w:szCs w:val="16"/>
              </w:rPr>
              <w:t>Kogi</w:t>
            </w:r>
          </w:p>
        </w:tc>
        <w:tc>
          <w:tcPr>
            <w:tcW w:w="1440" w:type="dxa"/>
            <w:vAlign w:val="center"/>
          </w:tcPr>
          <w:p w14:paraId="628EB8C4"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8531684" w14:textId="77777777" w:rsidR="00374D49" w:rsidRDefault="00374D49">
            <w:pPr>
              <w:keepNext/>
              <w:rPr>
                <w:rFonts w:cs="Times New Roman"/>
                <w:sz w:val="16"/>
                <w:szCs w:val="16"/>
              </w:rPr>
            </w:pPr>
            <w:r>
              <w:rPr>
                <w:rFonts w:cs="Times New Roman"/>
                <w:sz w:val="16"/>
                <w:szCs w:val="16"/>
              </w:rPr>
              <w:t>48,476</w:t>
            </w:r>
          </w:p>
        </w:tc>
        <w:tc>
          <w:tcPr>
            <w:tcW w:w="1007" w:type="dxa"/>
            <w:vAlign w:val="center"/>
          </w:tcPr>
          <w:p w14:paraId="46937B3A" w14:textId="77777777" w:rsidR="00374D49" w:rsidRDefault="00374D49">
            <w:pPr>
              <w:keepNext/>
              <w:rPr>
                <w:rFonts w:cs="Times New Roman"/>
                <w:sz w:val="16"/>
                <w:szCs w:val="16"/>
              </w:rPr>
            </w:pPr>
            <w:r>
              <w:rPr>
                <w:rFonts w:cs="Times New Roman"/>
                <w:sz w:val="16"/>
                <w:szCs w:val="16"/>
              </w:rPr>
              <w:t>31.3</w:t>
            </w:r>
          </w:p>
        </w:tc>
        <w:tc>
          <w:tcPr>
            <w:tcW w:w="1440" w:type="dxa"/>
            <w:vAlign w:val="center"/>
          </w:tcPr>
          <w:p w14:paraId="22EB3F88" w14:textId="77777777" w:rsidR="00374D49" w:rsidRDefault="00374D49">
            <w:pPr>
              <w:keepNext/>
              <w:rPr>
                <w:rFonts w:cs="Times New Roman"/>
                <w:sz w:val="16"/>
                <w:szCs w:val="16"/>
              </w:rPr>
            </w:pPr>
            <w:r>
              <w:rPr>
                <w:rFonts w:cs="Times New Roman"/>
                <w:sz w:val="16"/>
                <w:szCs w:val="16"/>
              </w:rPr>
              <w:t>41,779</w:t>
            </w:r>
          </w:p>
        </w:tc>
        <w:tc>
          <w:tcPr>
            <w:tcW w:w="1007" w:type="dxa"/>
            <w:vAlign w:val="center"/>
          </w:tcPr>
          <w:p w14:paraId="35F1079E" w14:textId="77777777" w:rsidR="00374D49" w:rsidRDefault="00374D49">
            <w:pPr>
              <w:keepNext/>
              <w:rPr>
                <w:rFonts w:cs="Times New Roman"/>
                <w:sz w:val="16"/>
                <w:szCs w:val="16"/>
              </w:rPr>
            </w:pPr>
            <w:r>
              <w:rPr>
                <w:rFonts w:cs="Times New Roman"/>
                <w:sz w:val="16"/>
                <w:szCs w:val="16"/>
              </w:rPr>
              <w:t>27.5</w:t>
            </w:r>
          </w:p>
        </w:tc>
        <w:tc>
          <w:tcPr>
            <w:tcW w:w="1252" w:type="dxa"/>
            <w:vAlign w:val="center"/>
          </w:tcPr>
          <w:p w14:paraId="7ABE0F9D" w14:textId="77777777" w:rsidR="00374D49" w:rsidRDefault="00374D49">
            <w:pPr>
              <w:keepNext/>
              <w:rPr>
                <w:rFonts w:cs="Times New Roman"/>
                <w:sz w:val="16"/>
                <w:szCs w:val="16"/>
              </w:rPr>
            </w:pPr>
            <w:r>
              <w:rPr>
                <w:rFonts w:cs="Times New Roman"/>
                <w:sz w:val="16"/>
                <w:szCs w:val="16"/>
              </w:rPr>
              <w:t>20.2</w:t>
            </w:r>
          </w:p>
        </w:tc>
      </w:tr>
      <w:tr w:rsidR="00374D49" w14:paraId="67232CD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416A6DAC" w14:textId="77777777" w:rsidR="00374D49" w:rsidRDefault="00374D49">
            <w:pPr>
              <w:keepNext/>
              <w:rPr>
                <w:rFonts w:cs="Times New Roman"/>
                <w:sz w:val="16"/>
                <w:szCs w:val="16"/>
              </w:rPr>
            </w:pPr>
            <w:r>
              <w:rPr>
                <w:rFonts w:cs="Times New Roman"/>
                <w:sz w:val="16"/>
                <w:szCs w:val="16"/>
              </w:rPr>
              <w:t>Kwara</w:t>
            </w:r>
          </w:p>
        </w:tc>
        <w:tc>
          <w:tcPr>
            <w:tcW w:w="1440" w:type="dxa"/>
            <w:vAlign w:val="center"/>
          </w:tcPr>
          <w:p w14:paraId="2AFE279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7340B579" w14:textId="77777777" w:rsidR="00374D49" w:rsidRDefault="00374D49">
            <w:pPr>
              <w:keepNext/>
              <w:rPr>
                <w:rFonts w:cs="Times New Roman"/>
                <w:sz w:val="16"/>
                <w:szCs w:val="16"/>
              </w:rPr>
            </w:pPr>
            <w:r>
              <w:rPr>
                <w:rFonts w:cs="Times New Roman"/>
                <w:sz w:val="16"/>
                <w:szCs w:val="16"/>
              </w:rPr>
              <w:t>47,518</w:t>
            </w:r>
          </w:p>
        </w:tc>
        <w:tc>
          <w:tcPr>
            <w:tcW w:w="1007" w:type="dxa"/>
            <w:vAlign w:val="center"/>
          </w:tcPr>
          <w:p w14:paraId="147ECDF5" w14:textId="77777777" w:rsidR="00374D49" w:rsidRDefault="00374D49">
            <w:pPr>
              <w:keepNext/>
              <w:rPr>
                <w:rFonts w:cs="Times New Roman"/>
                <w:sz w:val="16"/>
                <w:szCs w:val="16"/>
              </w:rPr>
            </w:pPr>
            <w:r>
              <w:rPr>
                <w:rFonts w:cs="Times New Roman"/>
                <w:sz w:val="16"/>
                <w:szCs w:val="16"/>
              </w:rPr>
              <w:t>36.6</w:t>
            </w:r>
          </w:p>
        </w:tc>
        <w:tc>
          <w:tcPr>
            <w:tcW w:w="1440" w:type="dxa"/>
            <w:vAlign w:val="center"/>
          </w:tcPr>
          <w:p w14:paraId="5FAFF22A" w14:textId="77777777" w:rsidR="00374D49" w:rsidRDefault="00374D49">
            <w:pPr>
              <w:keepNext/>
              <w:rPr>
                <w:rFonts w:cs="Times New Roman"/>
                <w:sz w:val="16"/>
                <w:szCs w:val="16"/>
              </w:rPr>
            </w:pPr>
            <w:r>
              <w:rPr>
                <w:rFonts w:cs="Times New Roman"/>
                <w:sz w:val="16"/>
                <w:szCs w:val="16"/>
              </w:rPr>
              <w:t>42,528</w:t>
            </w:r>
          </w:p>
        </w:tc>
        <w:tc>
          <w:tcPr>
            <w:tcW w:w="1007" w:type="dxa"/>
            <w:vAlign w:val="center"/>
          </w:tcPr>
          <w:p w14:paraId="7BEA1E01" w14:textId="77777777" w:rsidR="00374D49" w:rsidRDefault="00374D49">
            <w:pPr>
              <w:keepNext/>
              <w:rPr>
                <w:rFonts w:cs="Times New Roman"/>
                <w:sz w:val="16"/>
                <w:szCs w:val="16"/>
              </w:rPr>
            </w:pPr>
            <w:r>
              <w:rPr>
                <w:rFonts w:cs="Times New Roman"/>
                <w:sz w:val="16"/>
                <w:szCs w:val="16"/>
              </w:rPr>
              <w:t>33.8</w:t>
            </w:r>
          </w:p>
        </w:tc>
        <w:tc>
          <w:tcPr>
            <w:tcW w:w="1252" w:type="dxa"/>
            <w:vAlign w:val="center"/>
          </w:tcPr>
          <w:p w14:paraId="5F8E0A04" w14:textId="77777777" w:rsidR="00374D49" w:rsidRDefault="00374D49">
            <w:pPr>
              <w:keepNext/>
              <w:rPr>
                <w:rFonts w:cs="Times New Roman"/>
                <w:sz w:val="16"/>
                <w:szCs w:val="16"/>
              </w:rPr>
            </w:pPr>
            <w:r>
              <w:rPr>
                <w:rFonts w:cs="Times New Roman"/>
                <w:sz w:val="16"/>
                <w:szCs w:val="16"/>
              </w:rPr>
              <w:t>36.6</w:t>
            </w:r>
          </w:p>
        </w:tc>
      </w:tr>
      <w:tr w:rsidR="00374D49" w14:paraId="431A2CFB" w14:textId="77777777">
        <w:trPr>
          <w:cantSplit/>
        </w:trPr>
        <w:tc>
          <w:tcPr>
            <w:tcW w:w="1440" w:type="dxa"/>
            <w:vAlign w:val="center"/>
          </w:tcPr>
          <w:p w14:paraId="4B7B474F" w14:textId="77777777" w:rsidR="00374D49" w:rsidRDefault="00374D49">
            <w:pPr>
              <w:keepNext/>
              <w:rPr>
                <w:rFonts w:cs="Times New Roman"/>
                <w:sz w:val="16"/>
                <w:szCs w:val="16"/>
              </w:rPr>
            </w:pPr>
            <w:r>
              <w:rPr>
                <w:rFonts w:cs="Times New Roman"/>
                <w:sz w:val="16"/>
                <w:szCs w:val="16"/>
              </w:rPr>
              <w:t>Plateau</w:t>
            </w:r>
          </w:p>
        </w:tc>
        <w:tc>
          <w:tcPr>
            <w:tcW w:w="1440" w:type="dxa"/>
            <w:vAlign w:val="center"/>
          </w:tcPr>
          <w:p w14:paraId="536B856E"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5EEA9DBB" w14:textId="77777777" w:rsidR="00374D49" w:rsidRDefault="00374D49">
            <w:pPr>
              <w:keepNext/>
              <w:rPr>
                <w:rFonts w:cs="Times New Roman"/>
                <w:sz w:val="16"/>
                <w:szCs w:val="16"/>
              </w:rPr>
            </w:pPr>
            <w:r>
              <w:rPr>
                <w:rFonts w:cs="Times New Roman"/>
                <w:sz w:val="16"/>
                <w:szCs w:val="16"/>
              </w:rPr>
              <w:t>42,309</w:t>
            </w:r>
          </w:p>
        </w:tc>
        <w:tc>
          <w:tcPr>
            <w:tcW w:w="1007" w:type="dxa"/>
            <w:vAlign w:val="center"/>
          </w:tcPr>
          <w:p w14:paraId="69B207CA" w14:textId="77777777" w:rsidR="00374D49" w:rsidRDefault="00374D49">
            <w:pPr>
              <w:keepNext/>
              <w:rPr>
                <w:rFonts w:cs="Times New Roman"/>
                <w:sz w:val="16"/>
                <w:szCs w:val="16"/>
              </w:rPr>
            </w:pPr>
            <w:r>
              <w:rPr>
                <w:rFonts w:cs="Times New Roman"/>
                <w:sz w:val="16"/>
                <w:szCs w:val="16"/>
              </w:rPr>
              <w:t>27.9</w:t>
            </w:r>
          </w:p>
        </w:tc>
        <w:tc>
          <w:tcPr>
            <w:tcW w:w="1440" w:type="dxa"/>
            <w:vAlign w:val="center"/>
          </w:tcPr>
          <w:p w14:paraId="6DE1D00F" w14:textId="77777777" w:rsidR="00374D49" w:rsidRDefault="00374D49">
            <w:pPr>
              <w:keepNext/>
              <w:rPr>
                <w:rFonts w:cs="Times New Roman"/>
                <w:sz w:val="16"/>
                <w:szCs w:val="16"/>
              </w:rPr>
            </w:pPr>
            <w:r>
              <w:rPr>
                <w:rFonts w:cs="Times New Roman"/>
                <w:sz w:val="16"/>
                <w:szCs w:val="16"/>
              </w:rPr>
              <w:t>44,941</w:t>
            </w:r>
          </w:p>
        </w:tc>
        <w:tc>
          <w:tcPr>
            <w:tcW w:w="1007" w:type="dxa"/>
            <w:vAlign w:val="center"/>
          </w:tcPr>
          <w:p w14:paraId="0AF7BD13" w14:textId="77777777" w:rsidR="00374D49" w:rsidRDefault="00374D49">
            <w:pPr>
              <w:keepNext/>
              <w:rPr>
                <w:rFonts w:cs="Times New Roman"/>
                <w:sz w:val="16"/>
                <w:szCs w:val="16"/>
              </w:rPr>
            </w:pPr>
            <w:r>
              <w:rPr>
                <w:rFonts w:cs="Times New Roman"/>
                <w:sz w:val="16"/>
                <w:szCs w:val="16"/>
              </w:rPr>
              <w:t>30.2</w:t>
            </w:r>
          </w:p>
        </w:tc>
        <w:tc>
          <w:tcPr>
            <w:tcW w:w="1252" w:type="dxa"/>
            <w:vAlign w:val="center"/>
          </w:tcPr>
          <w:p w14:paraId="5D1D2B7C" w14:textId="77777777" w:rsidR="00374D49" w:rsidRDefault="00374D49">
            <w:pPr>
              <w:keepNext/>
              <w:rPr>
                <w:rFonts w:cs="Times New Roman"/>
                <w:sz w:val="16"/>
                <w:szCs w:val="16"/>
              </w:rPr>
            </w:pPr>
            <w:r>
              <w:rPr>
                <w:rFonts w:cs="Times New Roman"/>
                <w:sz w:val="16"/>
                <w:szCs w:val="16"/>
              </w:rPr>
              <w:t>35.2</w:t>
            </w:r>
          </w:p>
        </w:tc>
      </w:tr>
      <w:tr w:rsidR="00374D49" w14:paraId="73412EB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E3C7977" w14:textId="77777777" w:rsidR="00374D49" w:rsidRDefault="00374D49">
            <w:pPr>
              <w:keepNext/>
              <w:rPr>
                <w:rFonts w:cs="Times New Roman"/>
                <w:sz w:val="16"/>
                <w:szCs w:val="16"/>
              </w:rPr>
            </w:pPr>
            <w:r>
              <w:rPr>
                <w:rFonts w:cs="Times New Roman"/>
                <w:sz w:val="16"/>
                <w:szCs w:val="16"/>
              </w:rPr>
              <w:t>Nasarawa</w:t>
            </w:r>
          </w:p>
        </w:tc>
        <w:tc>
          <w:tcPr>
            <w:tcW w:w="1440" w:type="dxa"/>
            <w:vAlign w:val="center"/>
          </w:tcPr>
          <w:p w14:paraId="510CB3BB"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6F57DD2E" w14:textId="77777777" w:rsidR="00374D49" w:rsidRDefault="00374D49">
            <w:pPr>
              <w:keepNext/>
              <w:rPr>
                <w:rFonts w:cs="Times New Roman"/>
                <w:sz w:val="16"/>
                <w:szCs w:val="16"/>
              </w:rPr>
            </w:pPr>
            <w:r>
              <w:rPr>
                <w:rFonts w:cs="Times New Roman"/>
                <w:sz w:val="16"/>
                <w:szCs w:val="16"/>
              </w:rPr>
              <w:t>28,735</w:t>
            </w:r>
          </w:p>
        </w:tc>
        <w:tc>
          <w:tcPr>
            <w:tcW w:w="1007" w:type="dxa"/>
            <w:vAlign w:val="center"/>
          </w:tcPr>
          <w:p w14:paraId="18CD1C28" w14:textId="77777777" w:rsidR="00374D49" w:rsidRDefault="00374D49">
            <w:pPr>
              <w:keepNext/>
              <w:rPr>
                <w:rFonts w:cs="Times New Roman"/>
                <w:sz w:val="16"/>
                <w:szCs w:val="16"/>
              </w:rPr>
            </w:pPr>
            <w:r>
              <w:rPr>
                <w:rFonts w:cs="Times New Roman"/>
                <w:sz w:val="16"/>
                <w:szCs w:val="16"/>
              </w:rPr>
              <w:t>25.6</w:t>
            </w:r>
          </w:p>
        </w:tc>
        <w:tc>
          <w:tcPr>
            <w:tcW w:w="1440" w:type="dxa"/>
            <w:vAlign w:val="center"/>
          </w:tcPr>
          <w:p w14:paraId="0FBDFA7C" w14:textId="77777777" w:rsidR="00374D49" w:rsidRDefault="00374D49">
            <w:pPr>
              <w:keepNext/>
              <w:rPr>
                <w:rFonts w:cs="Times New Roman"/>
                <w:sz w:val="16"/>
                <w:szCs w:val="16"/>
              </w:rPr>
            </w:pPr>
            <w:r>
              <w:rPr>
                <w:rFonts w:cs="Times New Roman"/>
                <w:sz w:val="16"/>
                <w:szCs w:val="16"/>
              </w:rPr>
              <w:t>29,256</w:t>
            </w:r>
          </w:p>
        </w:tc>
        <w:tc>
          <w:tcPr>
            <w:tcW w:w="1007" w:type="dxa"/>
            <w:vAlign w:val="center"/>
          </w:tcPr>
          <w:p w14:paraId="063F1342" w14:textId="77777777" w:rsidR="00374D49" w:rsidRDefault="00374D49">
            <w:pPr>
              <w:keepNext/>
              <w:rPr>
                <w:rFonts w:cs="Times New Roman"/>
                <w:sz w:val="16"/>
                <w:szCs w:val="16"/>
              </w:rPr>
            </w:pPr>
            <w:r>
              <w:rPr>
                <w:rFonts w:cs="Times New Roman"/>
                <w:sz w:val="16"/>
                <w:szCs w:val="16"/>
              </w:rPr>
              <w:t>27.8</w:t>
            </w:r>
          </w:p>
        </w:tc>
        <w:tc>
          <w:tcPr>
            <w:tcW w:w="1252" w:type="dxa"/>
            <w:vAlign w:val="center"/>
          </w:tcPr>
          <w:p w14:paraId="3CD284E6" w14:textId="77777777" w:rsidR="00374D49" w:rsidRDefault="00374D49">
            <w:pPr>
              <w:keepNext/>
              <w:rPr>
                <w:rFonts w:cs="Times New Roman"/>
                <w:sz w:val="16"/>
                <w:szCs w:val="16"/>
              </w:rPr>
            </w:pPr>
            <w:r>
              <w:rPr>
                <w:rFonts w:cs="Times New Roman"/>
                <w:sz w:val="16"/>
                <w:szCs w:val="16"/>
              </w:rPr>
              <w:t>32.5</w:t>
            </w:r>
          </w:p>
        </w:tc>
      </w:tr>
      <w:tr w:rsidR="00374D49" w14:paraId="7CE2645A" w14:textId="77777777">
        <w:trPr>
          <w:cantSplit/>
        </w:trPr>
        <w:tc>
          <w:tcPr>
            <w:tcW w:w="1440" w:type="dxa"/>
            <w:vAlign w:val="center"/>
          </w:tcPr>
          <w:p w14:paraId="26A90C8D" w14:textId="77777777" w:rsidR="00374D49" w:rsidRDefault="00374D49">
            <w:pPr>
              <w:keepNext/>
              <w:rPr>
                <w:rFonts w:cs="Times New Roman"/>
                <w:sz w:val="16"/>
                <w:szCs w:val="16"/>
              </w:rPr>
            </w:pPr>
            <w:r>
              <w:rPr>
                <w:rFonts w:cs="Times New Roman"/>
                <w:sz w:val="16"/>
                <w:szCs w:val="16"/>
              </w:rPr>
              <w:t>FCT</w:t>
            </w:r>
          </w:p>
        </w:tc>
        <w:tc>
          <w:tcPr>
            <w:tcW w:w="1440" w:type="dxa"/>
            <w:vAlign w:val="center"/>
          </w:tcPr>
          <w:p w14:paraId="3E534561" w14:textId="77777777" w:rsidR="00374D49" w:rsidRDefault="00374D49">
            <w:pPr>
              <w:keepNext/>
              <w:rPr>
                <w:rFonts w:cs="Times New Roman"/>
                <w:sz w:val="16"/>
                <w:szCs w:val="16"/>
              </w:rPr>
            </w:pPr>
            <w:r>
              <w:rPr>
                <w:rFonts w:cs="Times New Roman"/>
                <w:sz w:val="16"/>
                <w:szCs w:val="16"/>
              </w:rPr>
              <w:t>North Central</w:t>
            </w:r>
          </w:p>
        </w:tc>
        <w:tc>
          <w:tcPr>
            <w:tcW w:w="1440" w:type="dxa"/>
            <w:vAlign w:val="center"/>
          </w:tcPr>
          <w:p w14:paraId="1B997102" w14:textId="77777777" w:rsidR="00374D49" w:rsidRDefault="00374D49">
            <w:pPr>
              <w:keepNext/>
              <w:rPr>
                <w:rFonts w:cs="Times New Roman"/>
                <w:sz w:val="16"/>
                <w:szCs w:val="16"/>
              </w:rPr>
            </w:pPr>
            <w:r>
              <w:rPr>
                <w:rFonts w:cs="Times New Roman"/>
                <w:sz w:val="16"/>
                <w:szCs w:val="16"/>
              </w:rPr>
              <w:t>20,351</w:t>
            </w:r>
          </w:p>
        </w:tc>
        <w:tc>
          <w:tcPr>
            <w:tcW w:w="1007" w:type="dxa"/>
            <w:vAlign w:val="center"/>
          </w:tcPr>
          <w:p w14:paraId="68911A3D" w14:textId="77777777" w:rsidR="00374D49" w:rsidRDefault="00374D49">
            <w:pPr>
              <w:keepNext/>
              <w:rPr>
                <w:rFonts w:cs="Times New Roman"/>
                <w:sz w:val="16"/>
                <w:szCs w:val="16"/>
              </w:rPr>
            </w:pPr>
            <w:r>
              <w:rPr>
                <w:rFonts w:cs="Times New Roman"/>
                <w:sz w:val="16"/>
                <w:szCs w:val="16"/>
              </w:rPr>
              <w:t>18.5</w:t>
            </w:r>
          </w:p>
        </w:tc>
        <w:tc>
          <w:tcPr>
            <w:tcW w:w="1440" w:type="dxa"/>
            <w:vAlign w:val="center"/>
          </w:tcPr>
          <w:p w14:paraId="21A87F10" w14:textId="77777777" w:rsidR="00374D49" w:rsidRDefault="00374D49">
            <w:pPr>
              <w:keepNext/>
              <w:rPr>
                <w:rFonts w:cs="Times New Roman"/>
                <w:sz w:val="16"/>
                <w:szCs w:val="16"/>
              </w:rPr>
            </w:pPr>
            <w:r>
              <w:rPr>
                <w:rFonts w:cs="Times New Roman"/>
                <w:sz w:val="16"/>
                <w:szCs w:val="16"/>
              </w:rPr>
              <w:t>18,725</w:t>
            </w:r>
          </w:p>
        </w:tc>
        <w:tc>
          <w:tcPr>
            <w:tcW w:w="1007" w:type="dxa"/>
            <w:vAlign w:val="center"/>
          </w:tcPr>
          <w:p w14:paraId="581F47AD" w14:textId="77777777" w:rsidR="00374D49" w:rsidRDefault="00374D49">
            <w:pPr>
              <w:keepNext/>
              <w:rPr>
                <w:rFonts w:cs="Times New Roman"/>
                <w:sz w:val="16"/>
                <w:szCs w:val="16"/>
              </w:rPr>
            </w:pPr>
            <w:r>
              <w:rPr>
                <w:rFonts w:cs="Times New Roman"/>
                <w:sz w:val="16"/>
                <w:szCs w:val="16"/>
              </w:rPr>
              <w:t>19.3</w:t>
            </w:r>
          </w:p>
        </w:tc>
        <w:tc>
          <w:tcPr>
            <w:tcW w:w="1252" w:type="dxa"/>
            <w:vAlign w:val="center"/>
          </w:tcPr>
          <w:p w14:paraId="430DA0E6" w14:textId="77777777" w:rsidR="00374D49" w:rsidRDefault="00374D49">
            <w:pPr>
              <w:keepNext/>
              <w:rPr>
                <w:rFonts w:cs="Times New Roman"/>
                <w:sz w:val="16"/>
                <w:szCs w:val="16"/>
              </w:rPr>
            </w:pPr>
            <w:r>
              <w:rPr>
                <w:rFonts w:cs="Times New Roman"/>
                <w:sz w:val="16"/>
                <w:szCs w:val="16"/>
              </w:rPr>
              <w:t>18.6</w:t>
            </w:r>
          </w:p>
        </w:tc>
      </w:tr>
      <w:tr w:rsidR="00374D49" w14:paraId="201A1C20"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430D7DE" w14:textId="77777777" w:rsidR="00374D49" w:rsidRDefault="00374D49">
            <w:pPr>
              <w:keepNext/>
              <w:rPr>
                <w:rFonts w:cs="Times New Roman"/>
                <w:sz w:val="16"/>
                <w:szCs w:val="16"/>
              </w:rPr>
            </w:pPr>
            <w:r>
              <w:rPr>
                <w:rFonts w:cs="Times New Roman"/>
                <w:sz w:val="16"/>
                <w:szCs w:val="16"/>
              </w:rPr>
              <w:t>Oyo</w:t>
            </w:r>
          </w:p>
        </w:tc>
        <w:tc>
          <w:tcPr>
            <w:tcW w:w="1440" w:type="dxa"/>
            <w:vAlign w:val="center"/>
          </w:tcPr>
          <w:p w14:paraId="30D62D33"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390D74B" w14:textId="77777777" w:rsidR="00374D49" w:rsidRDefault="00374D49">
            <w:pPr>
              <w:keepNext/>
              <w:rPr>
                <w:rFonts w:cs="Times New Roman"/>
                <w:sz w:val="16"/>
                <w:szCs w:val="16"/>
              </w:rPr>
            </w:pPr>
            <w:r>
              <w:rPr>
                <w:rFonts w:cs="Times New Roman"/>
                <w:sz w:val="16"/>
                <w:szCs w:val="16"/>
              </w:rPr>
              <w:t>45,265</w:t>
            </w:r>
          </w:p>
        </w:tc>
        <w:tc>
          <w:tcPr>
            <w:tcW w:w="1007" w:type="dxa"/>
            <w:vAlign w:val="center"/>
          </w:tcPr>
          <w:p w14:paraId="06A022F4" w14:textId="77777777" w:rsidR="00374D49" w:rsidRDefault="00374D49">
            <w:pPr>
              <w:keepNext/>
              <w:rPr>
                <w:rFonts w:cs="Times New Roman"/>
                <w:sz w:val="16"/>
                <w:szCs w:val="16"/>
              </w:rPr>
            </w:pPr>
            <w:r>
              <w:rPr>
                <w:rFonts w:cs="Times New Roman"/>
                <w:sz w:val="16"/>
                <w:szCs w:val="16"/>
              </w:rPr>
              <w:t>19.3</w:t>
            </w:r>
          </w:p>
        </w:tc>
        <w:tc>
          <w:tcPr>
            <w:tcW w:w="1440" w:type="dxa"/>
            <w:vAlign w:val="center"/>
          </w:tcPr>
          <w:p w14:paraId="4869A1CA" w14:textId="77777777" w:rsidR="00374D49" w:rsidRDefault="00374D49">
            <w:pPr>
              <w:keepNext/>
              <w:rPr>
                <w:rFonts w:cs="Times New Roman"/>
                <w:sz w:val="16"/>
                <w:szCs w:val="16"/>
              </w:rPr>
            </w:pPr>
            <w:r>
              <w:rPr>
                <w:rFonts w:cs="Times New Roman"/>
                <w:sz w:val="16"/>
                <w:szCs w:val="16"/>
              </w:rPr>
              <w:t>42,253</w:t>
            </w:r>
          </w:p>
        </w:tc>
        <w:tc>
          <w:tcPr>
            <w:tcW w:w="1007" w:type="dxa"/>
            <w:vAlign w:val="center"/>
          </w:tcPr>
          <w:p w14:paraId="1770903C" w14:textId="77777777" w:rsidR="00374D49" w:rsidRDefault="00374D49">
            <w:pPr>
              <w:keepNext/>
              <w:rPr>
                <w:rFonts w:cs="Times New Roman"/>
                <w:sz w:val="16"/>
                <w:szCs w:val="16"/>
              </w:rPr>
            </w:pPr>
            <w:r>
              <w:rPr>
                <w:rFonts w:cs="Times New Roman"/>
                <w:sz w:val="16"/>
                <w:szCs w:val="16"/>
              </w:rPr>
              <w:t>18.1</w:t>
            </w:r>
          </w:p>
        </w:tc>
        <w:tc>
          <w:tcPr>
            <w:tcW w:w="1252" w:type="dxa"/>
            <w:vAlign w:val="center"/>
          </w:tcPr>
          <w:p w14:paraId="545A1D12" w14:textId="77777777" w:rsidR="00374D49" w:rsidRDefault="00374D49">
            <w:pPr>
              <w:keepNext/>
              <w:rPr>
                <w:rFonts w:cs="Times New Roman"/>
                <w:sz w:val="16"/>
                <w:szCs w:val="16"/>
              </w:rPr>
            </w:pPr>
            <w:r>
              <w:rPr>
                <w:rFonts w:cs="Times New Roman"/>
                <w:sz w:val="16"/>
                <w:szCs w:val="16"/>
              </w:rPr>
              <w:t>28.0</w:t>
            </w:r>
          </w:p>
        </w:tc>
      </w:tr>
      <w:tr w:rsidR="00374D49" w14:paraId="5EDDD83B" w14:textId="77777777">
        <w:trPr>
          <w:cantSplit/>
        </w:trPr>
        <w:tc>
          <w:tcPr>
            <w:tcW w:w="1440" w:type="dxa"/>
            <w:vAlign w:val="center"/>
          </w:tcPr>
          <w:p w14:paraId="24B5B046" w14:textId="77777777" w:rsidR="00374D49" w:rsidRDefault="00374D49">
            <w:pPr>
              <w:keepNext/>
              <w:rPr>
                <w:rFonts w:cs="Times New Roman"/>
                <w:sz w:val="16"/>
                <w:szCs w:val="16"/>
              </w:rPr>
            </w:pPr>
            <w:r>
              <w:rPr>
                <w:rFonts w:cs="Times New Roman"/>
                <w:sz w:val="16"/>
                <w:szCs w:val="16"/>
              </w:rPr>
              <w:t>Ogun</w:t>
            </w:r>
          </w:p>
        </w:tc>
        <w:tc>
          <w:tcPr>
            <w:tcW w:w="1440" w:type="dxa"/>
            <w:vAlign w:val="center"/>
          </w:tcPr>
          <w:p w14:paraId="69382D31"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2B2AA0BF" w14:textId="77777777" w:rsidR="00374D49" w:rsidRDefault="00374D49">
            <w:pPr>
              <w:keepNext/>
              <w:rPr>
                <w:rFonts w:cs="Times New Roman"/>
                <w:sz w:val="16"/>
                <w:szCs w:val="16"/>
              </w:rPr>
            </w:pPr>
            <w:r>
              <w:rPr>
                <w:rFonts w:cs="Times New Roman"/>
                <w:sz w:val="16"/>
                <w:szCs w:val="16"/>
              </w:rPr>
              <w:t>32,123</w:t>
            </w:r>
          </w:p>
        </w:tc>
        <w:tc>
          <w:tcPr>
            <w:tcW w:w="1007" w:type="dxa"/>
            <w:vAlign w:val="center"/>
          </w:tcPr>
          <w:p w14:paraId="1D65811A" w14:textId="77777777" w:rsidR="00374D49" w:rsidRDefault="00374D49">
            <w:pPr>
              <w:keepNext/>
              <w:rPr>
                <w:rFonts w:cs="Times New Roman"/>
                <w:sz w:val="16"/>
                <w:szCs w:val="16"/>
              </w:rPr>
            </w:pPr>
            <w:r>
              <w:rPr>
                <w:rFonts w:cs="Times New Roman"/>
                <w:sz w:val="16"/>
                <w:szCs w:val="16"/>
              </w:rPr>
              <w:t>18.9</w:t>
            </w:r>
          </w:p>
        </w:tc>
        <w:tc>
          <w:tcPr>
            <w:tcW w:w="1440" w:type="dxa"/>
            <w:vAlign w:val="center"/>
          </w:tcPr>
          <w:p w14:paraId="5A168162" w14:textId="77777777" w:rsidR="00374D49" w:rsidRDefault="00374D49">
            <w:pPr>
              <w:keepNext/>
              <w:rPr>
                <w:rFonts w:cs="Times New Roman"/>
                <w:sz w:val="16"/>
                <w:szCs w:val="16"/>
              </w:rPr>
            </w:pPr>
            <w:r>
              <w:rPr>
                <w:rFonts w:cs="Times New Roman"/>
                <w:sz w:val="16"/>
                <w:szCs w:val="16"/>
              </w:rPr>
              <w:t>22,819</w:t>
            </w:r>
          </w:p>
        </w:tc>
        <w:tc>
          <w:tcPr>
            <w:tcW w:w="1007" w:type="dxa"/>
            <w:vAlign w:val="center"/>
          </w:tcPr>
          <w:p w14:paraId="2C6E7C9F" w14:textId="77777777" w:rsidR="00374D49" w:rsidRDefault="00374D49">
            <w:pPr>
              <w:keepNext/>
              <w:rPr>
                <w:rFonts w:cs="Times New Roman"/>
                <w:sz w:val="16"/>
                <w:szCs w:val="16"/>
              </w:rPr>
            </w:pPr>
            <w:r>
              <w:rPr>
                <w:rFonts w:cs="Times New Roman"/>
                <w:sz w:val="16"/>
                <w:szCs w:val="16"/>
              </w:rPr>
              <w:t>14.7</w:t>
            </w:r>
          </w:p>
        </w:tc>
        <w:tc>
          <w:tcPr>
            <w:tcW w:w="1252" w:type="dxa"/>
            <w:vAlign w:val="center"/>
          </w:tcPr>
          <w:p w14:paraId="25AFA872" w14:textId="77777777" w:rsidR="00374D49" w:rsidRDefault="00374D49">
            <w:pPr>
              <w:keepNext/>
              <w:rPr>
                <w:rFonts w:cs="Times New Roman"/>
                <w:sz w:val="16"/>
                <w:szCs w:val="16"/>
              </w:rPr>
            </w:pPr>
            <w:r>
              <w:rPr>
                <w:rFonts w:cs="Times New Roman"/>
                <w:sz w:val="16"/>
                <w:szCs w:val="16"/>
              </w:rPr>
              <w:t>16.2</w:t>
            </w:r>
          </w:p>
        </w:tc>
      </w:tr>
      <w:tr w:rsidR="00374D49" w14:paraId="1705BEE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FBD3FD3" w14:textId="77777777" w:rsidR="00374D49" w:rsidRDefault="00374D49">
            <w:pPr>
              <w:keepNext/>
              <w:rPr>
                <w:rFonts w:cs="Times New Roman"/>
                <w:sz w:val="16"/>
                <w:szCs w:val="16"/>
              </w:rPr>
            </w:pPr>
            <w:r>
              <w:rPr>
                <w:rFonts w:cs="Times New Roman"/>
                <w:sz w:val="16"/>
                <w:szCs w:val="16"/>
              </w:rPr>
              <w:t>Ondo</w:t>
            </w:r>
          </w:p>
        </w:tc>
        <w:tc>
          <w:tcPr>
            <w:tcW w:w="1440" w:type="dxa"/>
            <w:vAlign w:val="center"/>
          </w:tcPr>
          <w:p w14:paraId="1A466D2D"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1AD72400" w14:textId="77777777" w:rsidR="00374D49" w:rsidRDefault="00374D49">
            <w:pPr>
              <w:keepNext/>
              <w:rPr>
                <w:rFonts w:cs="Times New Roman"/>
                <w:sz w:val="16"/>
                <w:szCs w:val="16"/>
              </w:rPr>
            </w:pPr>
            <w:r>
              <w:rPr>
                <w:rFonts w:cs="Times New Roman"/>
                <w:sz w:val="16"/>
                <w:szCs w:val="16"/>
              </w:rPr>
              <w:t>28,122</w:t>
            </w:r>
          </w:p>
        </w:tc>
        <w:tc>
          <w:tcPr>
            <w:tcW w:w="1007" w:type="dxa"/>
            <w:vAlign w:val="center"/>
          </w:tcPr>
          <w:p w14:paraId="4A8CE6DF" w14:textId="77777777" w:rsidR="00374D49" w:rsidRDefault="00374D49">
            <w:pPr>
              <w:keepNext/>
              <w:rPr>
                <w:rFonts w:cs="Times New Roman"/>
                <w:sz w:val="16"/>
                <w:szCs w:val="16"/>
              </w:rPr>
            </w:pPr>
            <w:r>
              <w:rPr>
                <w:rFonts w:cs="Times New Roman"/>
                <w:sz w:val="16"/>
                <w:szCs w:val="16"/>
              </w:rPr>
              <w:t>18.7</w:t>
            </w:r>
          </w:p>
        </w:tc>
        <w:tc>
          <w:tcPr>
            <w:tcW w:w="1440" w:type="dxa"/>
            <w:vAlign w:val="center"/>
          </w:tcPr>
          <w:p w14:paraId="1A81CECF" w14:textId="77777777" w:rsidR="00374D49" w:rsidRDefault="00374D49">
            <w:pPr>
              <w:keepNext/>
              <w:rPr>
                <w:rFonts w:cs="Times New Roman"/>
                <w:sz w:val="16"/>
                <w:szCs w:val="16"/>
              </w:rPr>
            </w:pPr>
            <w:r>
              <w:rPr>
                <w:rFonts w:cs="Times New Roman"/>
                <w:sz w:val="16"/>
                <w:szCs w:val="16"/>
              </w:rPr>
              <w:t>32,119</w:t>
            </w:r>
          </w:p>
        </w:tc>
        <w:tc>
          <w:tcPr>
            <w:tcW w:w="1007" w:type="dxa"/>
            <w:vAlign w:val="center"/>
          </w:tcPr>
          <w:p w14:paraId="00E78DDB" w14:textId="77777777" w:rsidR="00374D49" w:rsidRDefault="00374D49">
            <w:pPr>
              <w:keepNext/>
              <w:rPr>
                <w:rFonts w:cs="Times New Roman"/>
                <w:sz w:val="16"/>
                <w:szCs w:val="16"/>
              </w:rPr>
            </w:pPr>
            <w:r>
              <w:rPr>
                <w:rFonts w:cs="Times New Roman"/>
                <w:sz w:val="16"/>
                <w:szCs w:val="16"/>
              </w:rPr>
              <w:t>21.7</w:t>
            </w:r>
          </w:p>
        </w:tc>
        <w:tc>
          <w:tcPr>
            <w:tcW w:w="1252" w:type="dxa"/>
            <w:vAlign w:val="center"/>
          </w:tcPr>
          <w:p w14:paraId="4E39B5F1" w14:textId="77777777" w:rsidR="00374D49" w:rsidRDefault="00374D49">
            <w:pPr>
              <w:keepNext/>
              <w:rPr>
                <w:rFonts w:cs="Times New Roman"/>
                <w:sz w:val="16"/>
                <w:szCs w:val="16"/>
              </w:rPr>
            </w:pPr>
            <w:r>
              <w:rPr>
                <w:rFonts w:cs="Times New Roman"/>
                <w:sz w:val="16"/>
                <w:szCs w:val="16"/>
              </w:rPr>
              <w:t>10.3</w:t>
            </w:r>
          </w:p>
        </w:tc>
      </w:tr>
      <w:tr w:rsidR="00374D49" w14:paraId="1A38DD2B" w14:textId="77777777">
        <w:trPr>
          <w:cantSplit/>
        </w:trPr>
        <w:tc>
          <w:tcPr>
            <w:tcW w:w="1440" w:type="dxa"/>
            <w:vAlign w:val="center"/>
          </w:tcPr>
          <w:p w14:paraId="5279C636" w14:textId="77777777" w:rsidR="00374D49" w:rsidRDefault="00374D49">
            <w:pPr>
              <w:keepNext/>
              <w:rPr>
                <w:rFonts w:cs="Times New Roman"/>
                <w:sz w:val="16"/>
                <w:szCs w:val="16"/>
              </w:rPr>
            </w:pPr>
            <w:r>
              <w:rPr>
                <w:rFonts w:cs="Times New Roman"/>
                <w:sz w:val="16"/>
                <w:szCs w:val="16"/>
              </w:rPr>
              <w:t>Lagos</w:t>
            </w:r>
          </w:p>
        </w:tc>
        <w:tc>
          <w:tcPr>
            <w:tcW w:w="1440" w:type="dxa"/>
            <w:vAlign w:val="center"/>
          </w:tcPr>
          <w:p w14:paraId="24B5F01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72C88076" w14:textId="77777777" w:rsidR="00374D49" w:rsidRDefault="00374D49">
            <w:pPr>
              <w:keepNext/>
              <w:rPr>
                <w:rFonts w:cs="Times New Roman"/>
                <w:sz w:val="16"/>
                <w:szCs w:val="16"/>
              </w:rPr>
            </w:pPr>
            <w:r>
              <w:rPr>
                <w:rFonts w:cs="Times New Roman"/>
                <w:sz w:val="16"/>
                <w:szCs w:val="16"/>
              </w:rPr>
              <w:t>22,095</w:t>
            </w:r>
          </w:p>
        </w:tc>
        <w:tc>
          <w:tcPr>
            <w:tcW w:w="1007" w:type="dxa"/>
            <w:vAlign w:val="center"/>
          </w:tcPr>
          <w:p w14:paraId="10F53478" w14:textId="77777777" w:rsidR="00374D49" w:rsidRDefault="00374D49">
            <w:pPr>
              <w:keepNext/>
              <w:rPr>
                <w:rFonts w:cs="Times New Roman"/>
                <w:sz w:val="16"/>
                <w:szCs w:val="16"/>
              </w:rPr>
            </w:pPr>
            <w:r>
              <w:rPr>
                <w:rFonts w:cs="Times New Roman"/>
                <w:sz w:val="16"/>
                <w:szCs w:val="16"/>
              </w:rPr>
              <w:t>7.1</w:t>
            </w:r>
          </w:p>
        </w:tc>
        <w:tc>
          <w:tcPr>
            <w:tcW w:w="1440" w:type="dxa"/>
            <w:vAlign w:val="center"/>
          </w:tcPr>
          <w:p w14:paraId="29EA8DFA" w14:textId="77777777" w:rsidR="00374D49" w:rsidRDefault="00374D49">
            <w:pPr>
              <w:keepNext/>
              <w:rPr>
                <w:rFonts w:cs="Times New Roman"/>
                <w:sz w:val="16"/>
                <w:szCs w:val="16"/>
              </w:rPr>
            </w:pPr>
            <w:r>
              <w:rPr>
                <w:rFonts w:cs="Times New Roman"/>
                <w:sz w:val="16"/>
                <w:szCs w:val="16"/>
              </w:rPr>
              <w:t>18,709</w:t>
            </w:r>
          </w:p>
        </w:tc>
        <w:tc>
          <w:tcPr>
            <w:tcW w:w="1007" w:type="dxa"/>
            <w:vAlign w:val="center"/>
          </w:tcPr>
          <w:p w14:paraId="26557402" w14:textId="77777777" w:rsidR="00374D49" w:rsidRDefault="00374D49">
            <w:pPr>
              <w:keepNext/>
              <w:rPr>
                <w:rFonts w:cs="Times New Roman"/>
                <w:sz w:val="16"/>
                <w:szCs w:val="16"/>
              </w:rPr>
            </w:pPr>
            <w:r>
              <w:rPr>
                <w:rFonts w:cs="Times New Roman"/>
                <w:sz w:val="16"/>
                <w:szCs w:val="16"/>
              </w:rPr>
              <w:t>6.2</w:t>
            </w:r>
          </w:p>
        </w:tc>
        <w:tc>
          <w:tcPr>
            <w:tcW w:w="1252" w:type="dxa"/>
            <w:vAlign w:val="center"/>
          </w:tcPr>
          <w:p w14:paraId="37502F71" w14:textId="77777777" w:rsidR="00374D49" w:rsidRDefault="00374D49">
            <w:pPr>
              <w:keepNext/>
              <w:rPr>
                <w:rFonts w:cs="Times New Roman"/>
                <w:sz w:val="16"/>
                <w:szCs w:val="16"/>
              </w:rPr>
            </w:pPr>
            <w:r>
              <w:rPr>
                <w:rFonts w:cs="Times New Roman"/>
                <w:sz w:val="16"/>
                <w:szCs w:val="16"/>
              </w:rPr>
              <w:t>7.1</w:t>
            </w:r>
          </w:p>
        </w:tc>
      </w:tr>
      <w:tr w:rsidR="00374D49" w14:paraId="11C4B162"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289694E" w14:textId="77777777" w:rsidR="00374D49" w:rsidRDefault="00374D49">
            <w:pPr>
              <w:keepNext/>
              <w:rPr>
                <w:rFonts w:cs="Times New Roman"/>
                <w:sz w:val="16"/>
                <w:szCs w:val="16"/>
              </w:rPr>
            </w:pPr>
            <w:r>
              <w:rPr>
                <w:rFonts w:cs="Times New Roman"/>
                <w:sz w:val="16"/>
                <w:szCs w:val="16"/>
              </w:rPr>
              <w:t>Osun</w:t>
            </w:r>
          </w:p>
        </w:tc>
        <w:tc>
          <w:tcPr>
            <w:tcW w:w="1440" w:type="dxa"/>
            <w:vAlign w:val="center"/>
          </w:tcPr>
          <w:p w14:paraId="3C998F08"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6A10FA80" w14:textId="77777777" w:rsidR="00374D49" w:rsidRDefault="00374D49">
            <w:pPr>
              <w:keepNext/>
              <w:rPr>
                <w:rFonts w:cs="Times New Roman"/>
                <w:sz w:val="16"/>
                <w:szCs w:val="16"/>
              </w:rPr>
            </w:pPr>
            <w:r>
              <w:rPr>
                <w:rFonts w:cs="Times New Roman"/>
                <w:sz w:val="16"/>
                <w:szCs w:val="16"/>
              </w:rPr>
              <w:t>14,337</w:t>
            </w:r>
          </w:p>
        </w:tc>
        <w:tc>
          <w:tcPr>
            <w:tcW w:w="1007" w:type="dxa"/>
            <w:vAlign w:val="center"/>
          </w:tcPr>
          <w:p w14:paraId="2866DD1D" w14:textId="77777777" w:rsidR="00374D49" w:rsidRDefault="00374D49">
            <w:pPr>
              <w:keepNext/>
              <w:rPr>
                <w:rFonts w:cs="Times New Roman"/>
                <w:sz w:val="16"/>
                <w:szCs w:val="16"/>
              </w:rPr>
            </w:pPr>
            <w:r>
              <w:rPr>
                <w:rFonts w:cs="Times New Roman"/>
                <w:sz w:val="16"/>
                <w:szCs w:val="16"/>
              </w:rPr>
              <w:t>12.1</w:t>
            </w:r>
          </w:p>
        </w:tc>
        <w:tc>
          <w:tcPr>
            <w:tcW w:w="1440" w:type="dxa"/>
            <w:vAlign w:val="center"/>
          </w:tcPr>
          <w:p w14:paraId="0D3D687F" w14:textId="77777777" w:rsidR="00374D49" w:rsidRDefault="00374D49">
            <w:pPr>
              <w:keepNext/>
              <w:rPr>
                <w:rFonts w:cs="Times New Roman"/>
                <w:sz w:val="16"/>
                <w:szCs w:val="16"/>
              </w:rPr>
            </w:pPr>
            <w:r>
              <w:rPr>
                <w:rFonts w:cs="Times New Roman"/>
                <w:sz w:val="16"/>
                <w:szCs w:val="16"/>
              </w:rPr>
              <w:t>12,763</w:t>
            </w:r>
          </w:p>
        </w:tc>
        <w:tc>
          <w:tcPr>
            <w:tcW w:w="1007" w:type="dxa"/>
            <w:vAlign w:val="center"/>
          </w:tcPr>
          <w:p w14:paraId="07DE8424" w14:textId="77777777" w:rsidR="00374D49" w:rsidRDefault="00374D49">
            <w:pPr>
              <w:keepNext/>
              <w:rPr>
                <w:rFonts w:cs="Times New Roman"/>
                <w:sz w:val="16"/>
                <w:szCs w:val="16"/>
              </w:rPr>
            </w:pPr>
            <w:r>
              <w:rPr>
                <w:rFonts w:cs="Times New Roman"/>
                <w:sz w:val="16"/>
                <w:szCs w:val="16"/>
              </w:rPr>
              <w:t>10.7</w:t>
            </w:r>
          </w:p>
        </w:tc>
        <w:tc>
          <w:tcPr>
            <w:tcW w:w="1252" w:type="dxa"/>
            <w:vAlign w:val="center"/>
          </w:tcPr>
          <w:p w14:paraId="7E800ECC" w14:textId="77777777" w:rsidR="00374D49" w:rsidRDefault="00374D49">
            <w:pPr>
              <w:keepNext/>
              <w:rPr>
                <w:rFonts w:cs="Times New Roman"/>
                <w:sz w:val="16"/>
                <w:szCs w:val="16"/>
              </w:rPr>
            </w:pPr>
            <w:r>
              <w:rPr>
                <w:rFonts w:cs="Times New Roman"/>
                <w:sz w:val="16"/>
                <w:szCs w:val="16"/>
              </w:rPr>
              <w:t>10.8</w:t>
            </w:r>
          </w:p>
        </w:tc>
      </w:tr>
      <w:tr w:rsidR="00374D49" w14:paraId="4074BC46" w14:textId="77777777">
        <w:trPr>
          <w:cantSplit/>
        </w:trPr>
        <w:tc>
          <w:tcPr>
            <w:tcW w:w="1440" w:type="dxa"/>
            <w:vAlign w:val="center"/>
          </w:tcPr>
          <w:p w14:paraId="41D5A716" w14:textId="77777777" w:rsidR="00374D49" w:rsidRDefault="00374D49">
            <w:pPr>
              <w:keepNext/>
              <w:rPr>
                <w:rFonts w:cs="Times New Roman"/>
                <w:sz w:val="16"/>
                <w:szCs w:val="16"/>
              </w:rPr>
            </w:pPr>
            <w:r>
              <w:rPr>
                <w:rFonts w:cs="Times New Roman"/>
                <w:sz w:val="16"/>
                <w:szCs w:val="16"/>
              </w:rPr>
              <w:t>Ekiti</w:t>
            </w:r>
          </w:p>
        </w:tc>
        <w:tc>
          <w:tcPr>
            <w:tcW w:w="1440" w:type="dxa"/>
            <w:vAlign w:val="center"/>
          </w:tcPr>
          <w:p w14:paraId="3C77D075" w14:textId="77777777" w:rsidR="00374D49" w:rsidRDefault="00374D49">
            <w:pPr>
              <w:keepNext/>
              <w:rPr>
                <w:rFonts w:cs="Times New Roman"/>
                <w:sz w:val="16"/>
                <w:szCs w:val="16"/>
              </w:rPr>
            </w:pPr>
            <w:r>
              <w:rPr>
                <w:rFonts w:cs="Times New Roman"/>
                <w:sz w:val="16"/>
                <w:szCs w:val="16"/>
              </w:rPr>
              <w:t>South West</w:t>
            </w:r>
          </w:p>
        </w:tc>
        <w:tc>
          <w:tcPr>
            <w:tcW w:w="1440" w:type="dxa"/>
            <w:vAlign w:val="center"/>
          </w:tcPr>
          <w:p w14:paraId="5B84EDB2" w14:textId="77777777" w:rsidR="00374D49" w:rsidRDefault="00374D49">
            <w:pPr>
              <w:keepNext/>
              <w:rPr>
                <w:rFonts w:cs="Times New Roman"/>
                <w:sz w:val="16"/>
                <w:szCs w:val="16"/>
              </w:rPr>
            </w:pPr>
            <w:r>
              <w:rPr>
                <w:rFonts w:cs="Times New Roman"/>
                <w:sz w:val="16"/>
                <w:szCs w:val="16"/>
              </w:rPr>
              <w:t>12,509</w:t>
            </w:r>
          </w:p>
        </w:tc>
        <w:tc>
          <w:tcPr>
            <w:tcW w:w="1007" w:type="dxa"/>
            <w:vAlign w:val="center"/>
          </w:tcPr>
          <w:p w14:paraId="159FB3A9"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2ABC26C0" w14:textId="77777777" w:rsidR="00374D49" w:rsidRDefault="00374D49">
            <w:pPr>
              <w:keepNext/>
              <w:rPr>
                <w:rFonts w:cs="Times New Roman"/>
                <w:sz w:val="16"/>
                <w:szCs w:val="16"/>
              </w:rPr>
            </w:pPr>
            <w:r>
              <w:rPr>
                <w:rFonts w:cs="Times New Roman"/>
                <w:sz w:val="16"/>
                <w:szCs w:val="16"/>
              </w:rPr>
              <w:t>12,492</w:t>
            </w:r>
          </w:p>
        </w:tc>
        <w:tc>
          <w:tcPr>
            <w:tcW w:w="1007" w:type="dxa"/>
            <w:vAlign w:val="center"/>
          </w:tcPr>
          <w:p w14:paraId="0F274AC0" w14:textId="77777777" w:rsidR="00374D49" w:rsidRDefault="00374D49">
            <w:pPr>
              <w:keepNext/>
              <w:rPr>
                <w:rFonts w:cs="Times New Roman"/>
                <w:sz w:val="16"/>
                <w:szCs w:val="16"/>
              </w:rPr>
            </w:pPr>
            <w:r>
              <w:rPr>
                <w:rFonts w:cs="Times New Roman"/>
                <w:sz w:val="16"/>
                <w:szCs w:val="16"/>
              </w:rPr>
              <w:t>11.2</w:t>
            </w:r>
          </w:p>
        </w:tc>
        <w:tc>
          <w:tcPr>
            <w:tcW w:w="1252" w:type="dxa"/>
            <w:vAlign w:val="center"/>
          </w:tcPr>
          <w:p w14:paraId="716B67A9" w14:textId="77777777" w:rsidR="00374D49" w:rsidRDefault="00374D49">
            <w:pPr>
              <w:keepNext/>
              <w:rPr>
                <w:rFonts w:cs="Times New Roman"/>
                <w:sz w:val="16"/>
                <w:szCs w:val="16"/>
              </w:rPr>
            </w:pPr>
            <w:r>
              <w:rPr>
                <w:rFonts w:cs="Times New Roman"/>
                <w:sz w:val="16"/>
                <w:szCs w:val="16"/>
              </w:rPr>
              <w:t>6.6</w:t>
            </w:r>
          </w:p>
        </w:tc>
      </w:tr>
      <w:tr w:rsidR="00374D49" w14:paraId="55D9BE4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967A943" w14:textId="77777777" w:rsidR="00374D49" w:rsidRDefault="00374D49">
            <w:pPr>
              <w:keepNext/>
              <w:rPr>
                <w:rFonts w:cs="Times New Roman"/>
                <w:sz w:val="16"/>
                <w:szCs w:val="16"/>
              </w:rPr>
            </w:pPr>
            <w:r>
              <w:rPr>
                <w:rFonts w:cs="Times New Roman"/>
                <w:sz w:val="16"/>
                <w:szCs w:val="16"/>
              </w:rPr>
              <w:t>Rivers</w:t>
            </w:r>
          </w:p>
        </w:tc>
        <w:tc>
          <w:tcPr>
            <w:tcW w:w="1440" w:type="dxa"/>
            <w:vAlign w:val="center"/>
          </w:tcPr>
          <w:p w14:paraId="78D5556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B39C64E" w14:textId="77777777" w:rsidR="00374D49" w:rsidRDefault="00374D49">
            <w:pPr>
              <w:keepNext/>
              <w:rPr>
                <w:rFonts w:cs="Times New Roman"/>
                <w:sz w:val="16"/>
                <w:szCs w:val="16"/>
              </w:rPr>
            </w:pPr>
            <w:r>
              <w:rPr>
                <w:rFonts w:cs="Times New Roman"/>
                <w:sz w:val="16"/>
                <w:szCs w:val="16"/>
              </w:rPr>
              <w:t>30,795</w:t>
            </w:r>
          </w:p>
        </w:tc>
        <w:tc>
          <w:tcPr>
            <w:tcW w:w="1007" w:type="dxa"/>
            <w:vAlign w:val="center"/>
          </w:tcPr>
          <w:p w14:paraId="6279643E" w14:textId="77777777" w:rsidR="00374D49" w:rsidRDefault="00374D49">
            <w:pPr>
              <w:keepNext/>
              <w:rPr>
                <w:rFonts w:cs="Times New Roman"/>
                <w:sz w:val="16"/>
                <w:szCs w:val="16"/>
              </w:rPr>
            </w:pPr>
            <w:r>
              <w:rPr>
                <w:rFonts w:cs="Times New Roman"/>
                <w:sz w:val="16"/>
                <w:szCs w:val="16"/>
              </w:rPr>
              <w:t>14.7</w:t>
            </w:r>
          </w:p>
        </w:tc>
        <w:tc>
          <w:tcPr>
            <w:tcW w:w="1440" w:type="dxa"/>
            <w:vAlign w:val="center"/>
          </w:tcPr>
          <w:p w14:paraId="66078A6B" w14:textId="77777777" w:rsidR="00374D49" w:rsidRDefault="00374D49">
            <w:pPr>
              <w:keepNext/>
              <w:rPr>
                <w:rFonts w:cs="Times New Roman"/>
                <w:sz w:val="16"/>
                <w:szCs w:val="16"/>
              </w:rPr>
            </w:pPr>
            <w:r>
              <w:rPr>
                <w:rFonts w:cs="Times New Roman"/>
                <w:sz w:val="16"/>
                <w:szCs w:val="16"/>
              </w:rPr>
              <w:t>26,122</w:t>
            </w:r>
          </w:p>
        </w:tc>
        <w:tc>
          <w:tcPr>
            <w:tcW w:w="1007" w:type="dxa"/>
            <w:vAlign w:val="center"/>
          </w:tcPr>
          <w:p w14:paraId="4A561A4A"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643B668B" w14:textId="77777777" w:rsidR="00374D49" w:rsidRDefault="00374D49">
            <w:pPr>
              <w:keepNext/>
              <w:rPr>
                <w:rFonts w:cs="Times New Roman"/>
                <w:sz w:val="16"/>
                <w:szCs w:val="16"/>
              </w:rPr>
            </w:pPr>
            <w:r>
              <w:rPr>
                <w:rFonts w:cs="Times New Roman"/>
                <w:sz w:val="16"/>
                <w:szCs w:val="16"/>
              </w:rPr>
              <w:t>9.5</w:t>
            </w:r>
          </w:p>
        </w:tc>
      </w:tr>
      <w:tr w:rsidR="00374D49" w14:paraId="003AFD21" w14:textId="77777777">
        <w:trPr>
          <w:cantSplit/>
        </w:trPr>
        <w:tc>
          <w:tcPr>
            <w:tcW w:w="1440" w:type="dxa"/>
            <w:vAlign w:val="center"/>
          </w:tcPr>
          <w:p w14:paraId="1D65BD8E" w14:textId="77777777" w:rsidR="00374D49" w:rsidRDefault="00374D49">
            <w:pPr>
              <w:keepNext/>
              <w:rPr>
                <w:rFonts w:cs="Times New Roman"/>
                <w:sz w:val="16"/>
                <w:szCs w:val="16"/>
              </w:rPr>
            </w:pPr>
            <w:r>
              <w:rPr>
                <w:rFonts w:cs="Times New Roman"/>
                <w:sz w:val="16"/>
                <w:szCs w:val="16"/>
              </w:rPr>
              <w:t>Delta</w:t>
            </w:r>
          </w:p>
        </w:tc>
        <w:tc>
          <w:tcPr>
            <w:tcW w:w="1440" w:type="dxa"/>
            <w:vAlign w:val="center"/>
          </w:tcPr>
          <w:p w14:paraId="6325AB8D"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7333E8D" w14:textId="77777777" w:rsidR="00374D49" w:rsidRDefault="00374D49">
            <w:pPr>
              <w:keepNext/>
              <w:rPr>
                <w:rFonts w:cs="Times New Roman"/>
                <w:sz w:val="16"/>
                <w:szCs w:val="16"/>
              </w:rPr>
            </w:pPr>
            <w:r>
              <w:rPr>
                <w:rFonts w:cs="Times New Roman"/>
                <w:sz w:val="16"/>
                <w:szCs w:val="16"/>
              </w:rPr>
              <w:t>21,940</w:t>
            </w:r>
          </w:p>
        </w:tc>
        <w:tc>
          <w:tcPr>
            <w:tcW w:w="1007" w:type="dxa"/>
            <w:vAlign w:val="center"/>
          </w:tcPr>
          <w:p w14:paraId="43F38A81" w14:textId="77777777" w:rsidR="00374D49" w:rsidRDefault="00374D49">
            <w:pPr>
              <w:keepNext/>
              <w:rPr>
                <w:rFonts w:cs="Times New Roman"/>
                <w:sz w:val="16"/>
                <w:szCs w:val="16"/>
              </w:rPr>
            </w:pPr>
            <w:r>
              <w:rPr>
                <w:rFonts w:cs="Times New Roman"/>
                <w:sz w:val="16"/>
                <w:szCs w:val="16"/>
              </w:rPr>
              <w:t>12.9</w:t>
            </w:r>
          </w:p>
        </w:tc>
        <w:tc>
          <w:tcPr>
            <w:tcW w:w="1440" w:type="dxa"/>
            <w:vAlign w:val="center"/>
          </w:tcPr>
          <w:p w14:paraId="71154430" w14:textId="77777777" w:rsidR="00374D49" w:rsidRDefault="00374D49">
            <w:pPr>
              <w:keepNext/>
              <w:rPr>
                <w:rFonts w:cs="Times New Roman"/>
                <w:sz w:val="16"/>
                <w:szCs w:val="16"/>
              </w:rPr>
            </w:pPr>
            <w:r>
              <w:rPr>
                <w:rFonts w:cs="Times New Roman"/>
                <w:sz w:val="16"/>
                <w:szCs w:val="16"/>
              </w:rPr>
              <w:t>23,510</w:t>
            </w:r>
          </w:p>
        </w:tc>
        <w:tc>
          <w:tcPr>
            <w:tcW w:w="1007" w:type="dxa"/>
            <w:vAlign w:val="center"/>
          </w:tcPr>
          <w:p w14:paraId="57E5D0A9" w14:textId="77777777" w:rsidR="00374D49" w:rsidRDefault="00374D49">
            <w:pPr>
              <w:keepNext/>
              <w:rPr>
                <w:rFonts w:cs="Times New Roman"/>
                <w:sz w:val="16"/>
                <w:szCs w:val="16"/>
              </w:rPr>
            </w:pPr>
            <w:r>
              <w:rPr>
                <w:rFonts w:cs="Times New Roman"/>
                <w:sz w:val="16"/>
                <w:szCs w:val="16"/>
              </w:rPr>
              <w:t>13.9</w:t>
            </w:r>
          </w:p>
        </w:tc>
        <w:tc>
          <w:tcPr>
            <w:tcW w:w="1252" w:type="dxa"/>
            <w:vAlign w:val="center"/>
          </w:tcPr>
          <w:p w14:paraId="2682BA8A" w14:textId="77777777" w:rsidR="00374D49" w:rsidRDefault="00374D49">
            <w:pPr>
              <w:keepNext/>
              <w:rPr>
                <w:rFonts w:cs="Times New Roman"/>
                <w:sz w:val="16"/>
                <w:szCs w:val="16"/>
              </w:rPr>
            </w:pPr>
            <w:r>
              <w:rPr>
                <w:rFonts w:cs="Times New Roman"/>
                <w:sz w:val="16"/>
                <w:szCs w:val="16"/>
              </w:rPr>
              <w:t>7.4</w:t>
            </w:r>
          </w:p>
        </w:tc>
      </w:tr>
      <w:tr w:rsidR="00374D49" w14:paraId="48ADC7E5"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720D88EB" w14:textId="77777777" w:rsidR="00374D49" w:rsidRDefault="00374D49">
            <w:pPr>
              <w:keepNext/>
              <w:rPr>
                <w:rFonts w:cs="Times New Roman"/>
                <w:sz w:val="16"/>
                <w:szCs w:val="16"/>
              </w:rPr>
            </w:pPr>
            <w:r>
              <w:rPr>
                <w:rFonts w:cs="Times New Roman"/>
                <w:sz w:val="16"/>
                <w:szCs w:val="16"/>
              </w:rPr>
              <w:t>Akwa Ibom</w:t>
            </w:r>
          </w:p>
        </w:tc>
        <w:tc>
          <w:tcPr>
            <w:tcW w:w="1440" w:type="dxa"/>
            <w:vAlign w:val="center"/>
          </w:tcPr>
          <w:p w14:paraId="0C4A867A"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2215B5C9" w14:textId="77777777" w:rsidR="00374D49" w:rsidRDefault="00374D49">
            <w:pPr>
              <w:keepNext/>
              <w:rPr>
                <w:rFonts w:cs="Times New Roman"/>
                <w:sz w:val="16"/>
                <w:szCs w:val="16"/>
              </w:rPr>
            </w:pPr>
            <w:r>
              <w:rPr>
                <w:rFonts w:cs="Times New Roman"/>
                <w:sz w:val="16"/>
                <w:szCs w:val="16"/>
              </w:rPr>
              <w:t>19,144</w:t>
            </w:r>
          </w:p>
        </w:tc>
        <w:tc>
          <w:tcPr>
            <w:tcW w:w="1007" w:type="dxa"/>
            <w:vAlign w:val="center"/>
          </w:tcPr>
          <w:p w14:paraId="35EBB417" w14:textId="77777777" w:rsidR="00374D49" w:rsidRDefault="00374D49">
            <w:pPr>
              <w:keepNext/>
              <w:rPr>
                <w:rFonts w:cs="Times New Roman"/>
                <w:sz w:val="16"/>
                <w:szCs w:val="16"/>
              </w:rPr>
            </w:pPr>
            <w:r>
              <w:rPr>
                <w:rFonts w:cs="Times New Roman"/>
                <w:sz w:val="16"/>
                <w:szCs w:val="16"/>
              </w:rPr>
              <w:t>13.1</w:t>
            </w:r>
          </w:p>
        </w:tc>
        <w:tc>
          <w:tcPr>
            <w:tcW w:w="1440" w:type="dxa"/>
            <w:vAlign w:val="center"/>
          </w:tcPr>
          <w:p w14:paraId="2E68A88E" w14:textId="77777777" w:rsidR="00374D49" w:rsidRDefault="00374D49">
            <w:pPr>
              <w:keepNext/>
              <w:rPr>
                <w:rFonts w:cs="Times New Roman"/>
                <w:sz w:val="16"/>
                <w:szCs w:val="16"/>
              </w:rPr>
            </w:pPr>
            <w:r>
              <w:rPr>
                <w:rFonts w:cs="Times New Roman"/>
                <w:sz w:val="16"/>
                <w:szCs w:val="16"/>
              </w:rPr>
              <w:t>13,242</w:t>
            </w:r>
          </w:p>
        </w:tc>
        <w:tc>
          <w:tcPr>
            <w:tcW w:w="1007" w:type="dxa"/>
            <w:vAlign w:val="center"/>
          </w:tcPr>
          <w:p w14:paraId="00170D08" w14:textId="77777777" w:rsidR="00374D49" w:rsidRDefault="00374D49">
            <w:pPr>
              <w:keepNext/>
              <w:rPr>
                <w:rFonts w:cs="Times New Roman"/>
                <w:sz w:val="16"/>
                <w:szCs w:val="16"/>
              </w:rPr>
            </w:pPr>
            <w:r>
              <w:rPr>
                <w:rFonts w:cs="Times New Roman"/>
                <w:sz w:val="16"/>
                <w:szCs w:val="16"/>
              </w:rPr>
              <w:t>10.5</w:t>
            </w:r>
          </w:p>
        </w:tc>
        <w:tc>
          <w:tcPr>
            <w:tcW w:w="1252" w:type="dxa"/>
            <w:vAlign w:val="center"/>
          </w:tcPr>
          <w:p w14:paraId="0F5B9D4A" w14:textId="77777777" w:rsidR="00374D49" w:rsidRDefault="00374D49">
            <w:pPr>
              <w:keepNext/>
              <w:rPr>
                <w:rFonts w:cs="Times New Roman"/>
                <w:sz w:val="16"/>
                <w:szCs w:val="16"/>
              </w:rPr>
            </w:pPr>
            <w:r>
              <w:rPr>
                <w:rFonts w:cs="Times New Roman"/>
                <w:sz w:val="16"/>
                <w:szCs w:val="16"/>
              </w:rPr>
              <w:t>11.8</w:t>
            </w:r>
          </w:p>
        </w:tc>
      </w:tr>
      <w:tr w:rsidR="00374D49" w14:paraId="0E4CA56B" w14:textId="77777777">
        <w:trPr>
          <w:cantSplit/>
        </w:trPr>
        <w:tc>
          <w:tcPr>
            <w:tcW w:w="1440" w:type="dxa"/>
            <w:vAlign w:val="center"/>
          </w:tcPr>
          <w:p w14:paraId="4DDA8389" w14:textId="77777777" w:rsidR="00374D49" w:rsidRDefault="00374D49">
            <w:pPr>
              <w:keepNext/>
              <w:rPr>
                <w:rFonts w:cs="Times New Roman"/>
                <w:sz w:val="16"/>
                <w:szCs w:val="16"/>
              </w:rPr>
            </w:pPr>
            <w:r>
              <w:rPr>
                <w:rFonts w:cs="Times New Roman"/>
                <w:sz w:val="16"/>
                <w:szCs w:val="16"/>
              </w:rPr>
              <w:t>Edo</w:t>
            </w:r>
          </w:p>
        </w:tc>
        <w:tc>
          <w:tcPr>
            <w:tcW w:w="1440" w:type="dxa"/>
            <w:vAlign w:val="center"/>
          </w:tcPr>
          <w:p w14:paraId="52F5033F"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1C8A77FB" w14:textId="77777777" w:rsidR="00374D49" w:rsidRDefault="00374D49">
            <w:pPr>
              <w:keepNext/>
              <w:rPr>
                <w:rFonts w:cs="Times New Roman"/>
                <w:sz w:val="16"/>
                <w:szCs w:val="16"/>
              </w:rPr>
            </w:pPr>
            <w:r>
              <w:rPr>
                <w:rFonts w:cs="Times New Roman"/>
                <w:sz w:val="16"/>
                <w:szCs w:val="16"/>
              </w:rPr>
              <w:t>15,905</w:t>
            </w:r>
          </w:p>
        </w:tc>
        <w:tc>
          <w:tcPr>
            <w:tcW w:w="1007" w:type="dxa"/>
            <w:vAlign w:val="center"/>
          </w:tcPr>
          <w:p w14:paraId="0729A7D6" w14:textId="77777777" w:rsidR="00374D49" w:rsidRDefault="00374D49">
            <w:pPr>
              <w:keepNext/>
              <w:rPr>
                <w:rFonts w:cs="Times New Roman"/>
                <w:sz w:val="16"/>
                <w:szCs w:val="16"/>
              </w:rPr>
            </w:pPr>
            <w:r>
              <w:rPr>
                <w:rFonts w:cs="Times New Roman"/>
                <w:sz w:val="16"/>
                <w:szCs w:val="16"/>
              </w:rPr>
              <w:t>10.0</w:t>
            </w:r>
          </w:p>
        </w:tc>
        <w:tc>
          <w:tcPr>
            <w:tcW w:w="1440" w:type="dxa"/>
            <w:vAlign w:val="center"/>
          </w:tcPr>
          <w:p w14:paraId="64187370" w14:textId="77777777" w:rsidR="00374D49" w:rsidRDefault="00374D49">
            <w:pPr>
              <w:keepNext/>
              <w:rPr>
                <w:rFonts w:cs="Times New Roman"/>
                <w:sz w:val="16"/>
                <w:szCs w:val="16"/>
              </w:rPr>
            </w:pPr>
            <w:r>
              <w:rPr>
                <w:rFonts w:cs="Times New Roman"/>
                <w:sz w:val="16"/>
                <w:szCs w:val="16"/>
              </w:rPr>
              <w:t>12,516</w:t>
            </w:r>
          </w:p>
        </w:tc>
        <w:tc>
          <w:tcPr>
            <w:tcW w:w="1007" w:type="dxa"/>
            <w:vAlign w:val="center"/>
          </w:tcPr>
          <w:p w14:paraId="19118075" w14:textId="77777777" w:rsidR="00374D49" w:rsidRDefault="00374D49">
            <w:pPr>
              <w:keepNext/>
              <w:rPr>
                <w:rFonts w:cs="Times New Roman"/>
                <w:sz w:val="16"/>
                <w:szCs w:val="16"/>
              </w:rPr>
            </w:pPr>
            <w:r>
              <w:rPr>
                <w:rFonts w:cs="Times New Roman"/>
                <w:sz w:val="16"/>
                <w:szCs w:val="16"/>
              </w:rPr>
              <w:t>8.5</w:t>
            </w:r>
          </w:p>
        </w:tc>
        <w:tc>
          <w:tcPr>
            <w:tcW w:w="1252" w:type="dxa"/>
            <w:vAlign w:val="center"/>
          </w:tcPr>
          <w:p w14:paraId="4F79CA24" w14:textId="77777777" w:rsidR="00374D49" w:rsidRDefault="00374D49">
            <w:pPr>
              <w:keepNext/>
              <w:rPr>
                <w:rFonts w:cs="Times New Roman"/>
                <w:sz w:val="16"/>
                <w:szCs w:val="16"/>
              </w:rPr>
            </w:pPr>
            <w:r>
              <w:rPr>
                <w:rFonts w:cs="Times New Roman"/>
                <w:sz w:val="16"/>
                <w:szCs w:val="16"/>
              </w:rPr>
              <w:t>9.0</w:t>
            </w:r>
          </w:p>
        </w:tc>
      </w:tr>
      <w:tr w:rsidR="00374D49" w14:paraId="307B1C17"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2D72A149" w14:textId="77777777" w:rsidR="00374D49" w:rsidRDefault="00374D49">
            <w:pPr>
              <w:keepNext/>
              <w:rPr>
                <w:rFonts w:cs="Times New Roman"/>
                <w:sz w:val="16"/>
                <w:szCs w:val="16"/>
              </w:rPr>
            </w:pPr>
            <w:r>
              <w:rPr>
                <w:rFonts w:cs="Times New Roman"/>
                <w:sz w:val="16"/>
                <w:szCs w:val="16"/>
              </w:rPr>
              <w:t>Bayelsa</w:t>
            </w:r>
          </w:p>
        </w:tc>
        <w:tc>
          <w:tcPr>
            <w:tcW w:w="1440" w:type="dxa"/>
            <w:vAlign w:val="center"/>
          </w:tcPr>
          <w:p w14:paraId="21A235D4"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66F7C45B" w14:textId="77777777" w:rsidR="00374D49" w:rsidRDefault="00374D49">
            <w:pPr>
              <w:keepNext/>
              <w:rPr>
                <w:rFonts w:cs="Times New Roman"/>
                <w:sz w:val="16"/>
                <w:szCs w:val="16"/>
              </w:rPr>
            </w:pPr>
            <w:r>
              <w:rPr>
                <w:rFonts w:cs="Times New Roman"/>
                <w:sz w:val="16"/>
                <w:szCs w:val="16"/>
              </w:rPr>
              <w:t>12,434</w:t>
            </w:r>
          </w:p>
        </w:tc>
        <w:tc>
          <w:tcPr>
            <w:tcW w:w="1007" w:type="dxa"/>
            <w:vAlign w:val="center"/>
          </w:tcPr>
          <w:p w14:paraId="4A34B5B1" w14:textId="77777777" w:rsidR="00374D49" w:rsidRDefault="00374D49">
            <w:pPr>
              <w:keepNext/>
              <w:rPr>
                <w:rFonts w:cs="Times New Roman"/>
                <w:sz w:val="16"/>
                <w:szCs w:val="16"/>
              </w:rPr>
            </w:pPr>
            <w:r>
              <w:rPr>
                <w:rFonts w:cs="Times New Roman"/>
                <w:sz w:val="16"/>
                <w:szCs w:val="16"/>
              </w:rPr>
              <w:t>18.0</w:t>
            </w:r>
          </w:p>
        </w:tc>
        <w:tc>
          <w:tcPr>
            <w:tcW w:w="1440" w:type="dxa"/>
            <w:vAlign w:val="center"/>
          </w:tcPr>
          <w:p w14:paraId="632B30F3" w14:textId="77777777" w:rsidR="00374D49" w:rsidRDefault="00374D49">
            <w:pPr>
              <w:keepNext/>
              <w:rPr>
                <w:rFonts w:cs="Times New Roman"/>
                <w:sz w:val="16"/>
                <w:szCs w:val="16"/>
              </w:rPr>
            </w:pPr>
            <w:r>
              <w:rPr>
                <w:rFonts w:cs="Times New Roman"/>
                <w:sz w:val="16"/>
                <w:szCs w:val="16"/>
              </w:rPr>
              <w:t>20,938</w:t>
            </w:r>
          </w:p>
        </w:tc>
        <w:tc>
          <w:tcPr>
            <w:tcW w:w="1007" w:type="dxa"/>
            <w:vAlign w:val="center"/>
          </w:tcPr>
          <w:p w14:paraId="0B01B877" w14:textId="77777777" w:rsidR="00374D49" w:rsidRDefault="00374D49">
            <w:pPr>
              <w:keepNext/>
              <w:rPr>
                <w:rFonts w:cs="Times New Roman"/>
                <w:sz w:val="16"/>
                <w:szCs w:val="16"/>
              </w:rPr>
            </w:pPr>
            <w:r>
              <w:rPr>
                <w:rFonts w:cs="Times New Roman"/>
                <w:sz w:val="16"/>
                <w:szCs w:val="16"/>
              </w:rPr>
              <w:t>30.3</w:t>
            </w:r>
          </w:p>
        </w:tc>
        <w:tc>
          <w:tcPr>
            <w:tcW w:w="1252" w:type="dxa"/>
            <w:vAlign w:val="center"/>
          </w:tcPr>
          <w:p w14:paraId="5C0E6D11" w14:textId="77777777" w:rsidR="00374D49" w:rsidRDefault="00374D49">
            <w:pPr>
              <w:keepNext/>
              <w:rPr>
                <w:rFonts w:cs="Times New Roman"/>
                <w:sz w:val="16"/>
                <w:szCs w:val="16"/>
              </w:rPr>
            </w:pPr>
            <w:r>
              <w:rPr>
                <w:rFonts w:cs="Times New Roman"/>
                <w:sz w:val="16"/>
                <w:szCs w:val="16"/>
              </w:rPr>
              <w:t>10.9</w:t>
            </w:r>
          </w:p>
        </w:tc>
      </w:tr>
      <w:tr w:rsidR="00374D49" w14:paraId="7A6D7C4B" w14:textId="77777777">
        <w:trPr>
          <w:cantSplit/>
        </w:trPr>
        <w:tc>
          <w:tcPr>
            <w:tcW w:w="1440" w:type="dxa"/>
            <w:vAlign w:val="center"/>
          </w:tcPr>
          <w:p w14:paraId="7DF15BF1" w14:textId="77777777" w:rsidR="00374D49" w:rsidRDefault="00374D49">
            <w:pPr>
              <w:keepNext/>
              <w:rPr>
                <w:rFonts w:cs="Times New Roman"/>
                <w:sz w:val="16"/>
                <w:szCs w:val="16"/>
              </w:rPr>
            </w:pPr>
            <w:r>
              <w:rPr>
                <w:rFonts w:cs="Times New Roman"/>
                <w:sz w:val="16"/>
                <w:szCs w:val="16"/>
              </w:rPr>
              <w:t>Cross River</w:t>
            </w:r>
          </w:p>
        </w:tc>
        <w:tc>
          <w:tcPr>
            <w:tcW w:w="1440" w:type="dxa"/>
            <w:vAlign w:val="center"/>
          </w:tcPr>
          <w:p w14:paraId="2F613898" w14:textId="77777777" w:rsidR="00374D49" w:rsidRDefault="00374D49">
            <w:pPr>
              <w:keepNext/>
              <w:rPr>
                <w:rFonts w:cs="Times New Roman"/>
                <w:sz w:val="16"/>
                <w:szCs w:val="16"/>
              </w:rPr>
            </w:pPr>
            <w:r>
              <w:rPr>
                <w:rFonts w:cs="Times New Roman"/>
                <w:sz w:val="16"/>
                <w:szCs w:val="16"/>
              </w:rPr>
              <w:t>South South</w:t>
            </w:r>
          </w:p>
        </w:tc>
        <w:tc>
          <w:tcPr>
            <w:tcW w:w="1440" w:type="dxa"/>
            <w:vAlign w:val="center"/>
          </w:tcPr>
          <w:p w14:paraId="3FC4E56D" w14:textId="77777777" w:rsidR="00374D49" w:rsidRDefault="00374D49">
            <w:pPr>
              <w:keepNext/>
              <w:rPr>
                <w:rFonts w:cs="Times New Roman"/>
                <w:sz w:val="16"/>
                <w:szCs w:val="16"/>
              </w:rPr>
            </w:pPr>
            <w:r>
              <w:rPr>
                <w:rFonts w:cs="Times New Roman"/>
                <w:sz w:val="16"/>
                <w:szCs w:val="16"/>
              </w:rPr>
              <w:t>12,091</w:t>
            </w:r>
          </w:p>
        </w:tc>
        <w:tc>
          <w:tcPr>
            <w:tcW w:w="1007" w:type="dxa"/>
            <w:vAlign w:val="center"/>
          </w:tcPr>
          <w:p w14:paraId="7FA26800" w14:textId="77777777" w:rsidR="00374D49" w:rsidRDefault="00374D49">
            <w:pPr>
              <w:keepNext/>
              <w:rPr>
                <w:rFonts w:cs="Times New Roman"/>
                <w:sz w:val="16"/>
                <w:szCs w:val="16"/>
              </w:rPr>
            </w:pPr>
            <w:r>
              <w:rPr>
                <w:rFonts w:cs="Times New Roman"/>
                <w:sz w:val="16"/>
                <w:szCs w:val="16"/>
              </w:rPr>
              <w:t>11.2</w:t>
            </w:r>
          </w:p>
        </w:tc>
        <w:tc>
          <w:tcPr>
            <w:tcW w:w="1440" w:type="dxa"/>
            <w:vAlign w:val="center"/>
          </w:tcPr>
          <w:p w14:paraId="147CCD4D" w14:textId="77777777" w:rsidR="00374D49" w:rsidRDefault="00374D49">
            <w:pPr>
              <w:keepNext/>
              <w:rPr>
                <w:rFonts w:cs="Times New Roman"/>
                <w:sz w:val="16"/>
                <w:szCs w:val="16"/>
              </w:rPr>
            </w:pPr>
            <w:r>
              <w:rPr>
                <w:rFonts w:cs="Times New Roman"/>
                <w:sz w:val="16"/>
                <w:szCs w:val="16"/>
              </w:rPr>
              <w:t>14,026</w:t>
            </w:r>
          </w:p>
        </w:tc>
        <w:tc>
          <w:tcPr>
            <w:tcW w:w="1007" w:type="dxa"/>
            <w:vAlign w:val="center"/>
          </w:tcPr>
          <w:p w14:paraId="12DCBBD9" w14:textId="77777777" w:rsidR="00374D49" w:rsidRDefault="00374D49">
            <w:pPr>
              <w:keepNext/>
              <w:rPr>
                <w:rFonts w:cs="Times New Roman"/>
                <w:sz w:val="16"/>
                <w:szCs w:val="16"/>
              </w:rPr>
            </w:pPr>
            <w:r>
              <w:rPr>
                <w:rFonts w:cs="Times New Roman"/>
                <w:sz w:val="16"/>
                <w:szCs w:val="16"/>
              </w:rPr>
              <w:t>13.0</w:t>
            </w:r>
          </w:p>
        </w:tc>
        <w:tc>
          <w:tcPr>
            <w:tcW w:w="1252" w:type="dxa"/>
            <w:vAlign w:val="center"/>
          </w:tcPr>
          <w:p w14:paraId="391F2223" w14:textId="77777777" w:rsidR="00374D49" w:rsidRDefault="00374D49">
            <w:pPr>
              <w:keepNext/>
              <w:rPr>
                <w:rFonts w:cs="Times New Roman"/>
                <w:sz w:val="16"/>
                <w:szCs w:val="16"/>
              </w:rPr>
            </w:pPr>
            <w:r>
              <w:rPr>
                <w:rFonts w:cs="Times New Roman"/>
                <w:sz w:val="16"/>
                <w:szCs w:val="16"/>
              </w:rPr>
              <w:t>5.3</w:t>
            </w:r>
          </w:p>
        </w:tc>
      </w:tr>
      <w:tr w:rsidR="00374D49" w14:paraId="2946E0E1"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55463272" w14:textId="77777777" w:rsidR="00374D49" w:rsidRDefault="00374D49">
            <w:pPr>
              <w:keepNext/>
              <w:rPr>
                <w:rFonts w:cs="Times New Roman"/>
                <w:sz w:val="16"/>
                <w:szCs w:val="16"/>
              </w:rPr>
            </w:pPr>
            <w:r>
              <w:rPr>
                <w:rFonts w:cs="Times New Roman"/>
                <w:sz w:val="16"/>
                <w:szCs w:val="16"/>
              </w:rPr>
              <w:t>Anambra</w:t>
            </w:r>
          </w:p>
        </w:tc>
        <w:tc>
          <w:tcPr>
            <w:tcW w:w="1440" w:type="dxa"/>
            <w:vAlign w:val="center"/>
          </w:tcPr>
          <w:p w14:paraId="010A1A28"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7B9A22BB" w14:textId="77777777" w:rsidR="00374D49" w:rsidRDefault="00374D49">
            <w:pPr>
              <w:keepNext/>
              <w:rPr>
                <w:rFonts w:cs="Times New Roman"/>
                <w:sz w:val="16"/>
                <w:szCs w:val="16"/>
              </w:rPr>
            </w:pPr>
            <w:r>
              <w:rPr>
                <w:rFonts w:cs="Times New Roman"/>
                <w:sz w:val="16"/>
                <w:szCs w:val="16"/>
              </w:rPr>
              <w:t>18,507</w:t>
            </w:r>
          </w:p>
        </w:tc>
        <w:tc>
          <w:tcPr>
            <w:tcW w:w="1007" w:type="dxa"/>
            <w:vAlign w:val="center"/>
          </w:tcPr>
          <w:p w14:paraId="63335499" w14:textId="77777777" w:rsidR="00374D49" w:rsidRDefault="00374D49">
            <w:pPr>
              <w:keepNext/>
              <w:rPr>
                <w:rFonts w:cs="Times New Roman"/>
                <w:sz w:val="16"/>
                <w:szCs w:val="16"/>
              </w:rPr>
            </w:pPr>
            <w:r>
              <w:rPr>
                <w:rFonts w:cs="Times New Roman"/>
                <w:sz w:val="16"/>
                <w:szCs w:val="16"/>
              </w:rPr>
              <w:t>9.8</w:t>
            </w:r>
          </w:p>
        </w:tc>
        <w:tc>
          <w:tcPr>
            <w:tcW w:w="1440" w:type="dxa"/>
            <w:vAlign w:val="center"/>
          </w:tcPr>
          <w:p w14:paraId="43414FEB" w14:textId="77777777" w:rsidR="00374D49" w:rsidRDefault="00374D49">
            <w:pPr>
              <w:keepNext/>
              <w:rPr>
                <w:rFonts w:cs="Times New Roman"/>
                <w:sz w:val="16"/>
                <w:szCs w:val="16"/>
              </w:rPr>
            </w:pPr>
            <w:r>
              <w:rPr>
                <w:rFonts w:cs="Times New Roman"/>
                <w:sz w:val="16"/>
                <w:szCs w:val="16"/>
              </w:rPr>
              <w:t>14,459</w:t>
            </w:r>
          </w:p>
        </w:tc>
        <w:tc>
          <w:tcPr>
            <w:tcW w:w="1007" w:type="dxa"/>
            <w:vAlign w:val="center"/>
          </w:tcPr>
          <w:p w14:paraId="3BA3B826" w14:textId="77777777" w:rsidR="00374D49" w:rsidRDefault="00374D49">
            <w:pPr>
              <w:keepNext/>
              <w:rPr>
                <w:rFonts w:cs="Times New Roman"/>
                <w:sz w:val="16"/>
                <w:szCs w:val="16"/>
              </w:rPr>
            </w:pPr>
            <w:r>
              <w:rPr>
                <w:rFonts w:cs="Times New Roman"/>
                <w:sz w:val="16"/>
                <w:szCs w:val="16"/>
              </w:rPr>
              <w:t>7.9</w:t>
            </w:r>
          </w:p>
        </w:tc>
        <w:tc>
          <w:tcPr>
            <w:tcW w:w="1252" w:type="dxa"/>
            <w:vAlign w:val="center"/>
          </w:tcPr>
          <w:p w14:paraId="12DC521D" w14:textId="77777777" w:rsidR="00374D49" w:rsidRDefault="00374D49">
            <w:pPr>
              <w:keepNext/>
              <w:rPr>
                <w:rFonts w:cs="Times New Roman"/>
                <w:sz w:val="16"/>
                <w:szCs w:val="16"/>
              </w:rPr>
            </w:pPr>
            <w:r>
              <w:rPr>
                <w:rFonts w:cs="Times New Roman"/>
                <w:sz w:val="16"/>
                <w:szCs w:val="16"/>
              </w:rPr>
              <w:t>7.3</w:t>
            </w:r>
          </w:p>
        </w:tc>
      </w:tr>
      <w:tr w:rsidR="00374D49" w14:paraId="38D30CFF" w14:textId="77777777">
        <w:trPr>
          <w:cantSplit/>
        </w:trPr>
        <w:tc>
          <w:tcPr>
            <w:tcW w:w="1440" w:type="dxa"/>
            <w:vAlign w:val="center"/>
          </w:tcPr>
          <w:p w14:paraId="1F2DD003" w14:textId="77777777" w:rsidR="00374D49" w:rsidRDefault="00374D49">
            <w:pPr>
              <w:keepNext/>
              <w:rPr>
                <w:rFonts w:cs="Times New Roman"/>
                <w:sz w:val="16"/>
                <w:szCs w:val="16"/>
              </w:rPr>
            </w:pPr>
            <w:r>
              <w:rPr>
                <w:rFonts w:cs="Times New Roman"/>
                <w:sz w:val="16"/>
                <w:szCs w:val="16"/>
              </w:rPr>
              <w:t>Enugu</w:t>
            </w:r>
          </w:p>
        </w:tc>
        <w:tc>
          <w:tcPr>
            <w:tcW w:w="1440" w:type="dxa"/>
            <w:vAlign w:val="center"/>
          </w:tcPr>
          <w:p w14:paraId="3B91C660"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2742F0F" w14:textId="77777777" w:rsidR="00374D49" w:rsidRDefault="00374D49">
            <w:pPr>
              <w:keepNext/>
              <w:rPr>
                <w:rFonts w:cs="Times New Roman"/>
                <w:sz w:val="16"/>
                <w:szCs w:val="16"/>
              </w:rPr>
            </w:pPr>
            <w:r>
              <w:rPr>
                <w:rFonts w:cs="Times New Roman"/>
                <w:sz w:val="16"/>
                <w:szCs w:val="16"/>
              </w:rPr>
              <w:t>14,715</w:t>
            </w:r>
          </w:p>
        </w:tc>
        <w:tc>
          <w:tcPr>
            <w:tcW w:w="1007" w:type="dxa"/>
            <w:vAlign w:val="center"/>
          </w:tcPr>
          <w:p w14:paraId="1E3E38A7" w14:textId="77777777" w:rsidR="00374D49" w:rsidRDefault="00374D49">
            <w:pPr>
              <w:keepNext/>
              <w:rPr>
                <w:rFonts w:cs="Times New Roman"/>
                <w:sz w:val="16"/>
                <w:szCs w:val="16"/>
              </w:rPr>
            </w:pPr>
            <w:r>
              <w:rPr>
                <w:rFonts w:cs="Times New Roman"/>
                <w:sz w:val="16"/>
                <w:szCs w:val="16"/>
              </w:rPr>
              <w:t>9.9</w:t>
            </w:r>
          </w:p>
        </w:tc>
        <w:tc>
          <w:tcPr>
            <w:tcW w:w="1440" w:type="dxa"/>
            <w:vAlign w:val="center"/>
          </w:tcPr>
          <w:p w14:paraId="54102F37" w14:textId="77777777" w:rsidR="00374D49" w:rsidRDefault="00374D49">
            <w:pPr>
              <w:keepNext/>
              <w:rPr>
                <w:rFonts w:cs="Times New Roman"/>
                <w:sz w:val="16"/>
                <w:szCs w:val="16"/>
              </w:rPr>
            </w:pPr>
            <w:r>
              <w:rPr>
                <w:rFonts w:cs="Times New Roman"/>
                <w:sz w:val="16"/>
                <w:szCs w:val="16"/>
              </w:rPr>
              <w:t>10,442</w:t>
            </w:r>
          </w:p>
        </w:tc>
        <w:tc>
          <w:tcPr>
            <w:tcW w:w="1007" w:type="dxa"/>
            <w:vAlign w:val="center"/>
          </w:tcPr>
          <w:p w14:paraId="0BF034F0" w14:textId="77777777" w:rsidR="00374D49" w:rsidRDefault="00374D49">
            <w:pPr>
              <w:keepNext/>
              <w:rPr>
                <w:rFonts w:cs="Times New Roman"/>
                <w:sz w:val="16"/>
                <w:szCs w:val="16"/>
              </w:rPr>
            </w:pPr>
            <w:r>
              <w:rPr>
                <w:rFonts w:cs="Times New Roman"/>
                <w:sz w:val="16"/>
                <w:szCs w:val="16"/>
              </w:rPr>
              <w:t>7.0</w:t>
            </w:r>
          </w:p>
        </w:tc>
        <w:tc>
          <w:tcPr>
            <w:tcW w:w="1252" w:type="dxa"/>
            <w:vAlign w:val="center"/>
          </w:tcPr>
          <w:p w14:paraId="192B9A81" w14:textId="77777777" w:rsidR="00374D49" w:rsidRDefault="00374D49">
            <w:pPr>
              <w:keepNext/>
              <w:rPr>
                <w:rFonts w:cs="Times New Roman"/>
                <w:sz w:val="16"/>
                <w:szCs w:val="16"/>
              </w:rPr>
            </w:pPr>
            <w:r>
              <w:rPr>
                <w:rFonts w:cs="Times New Roman"/>
                <w:sz w:val="16"/>
                <w:szCs w:val="16"/>
              </w:rPr>
              <w:t>7.8</w:t>
            </w:r>
          </w:p>
        </w:tc>
      </w:tr>
      <w:tr w:rsidR="00374D49" w14:paraId="782EF82A"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3A66D14" w14:textId="77777777" w:rsidR="00374D49" w:rsidRDefault="00374D49">
            <w:pPr>
              <w:keepNext/>
              <w:rPr>
                <w:rFonts w:cs="Times New Roman"/>
                <w:sz w:val="16"/>
                <w:szCs w:val="16"/>
              </w:rPr>
            </w:pPr>
            <w:r>
              <w:rPr>
                <w:rFonts w:cs="Times New Roman"/>
                <w:sz w:val="16"/>
                <w:szCs w:val="16"/>
              </w:rPr>
              <w:t>Imo</w:t>
            </w:r>
          </w:p>
        </w:tc>
        <w:tc>
          <w:tcPr>
            <w:tcW w:w="1440" w:type="dxa"/>
            <w:vAlign w:val="center"/>
          </w:tcPr>
          <w:p w14:paraId="72B354F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64CF19C9" w14:textId="77777777" w:rsidR="00374D49" w:rsidRDefault="00374D49">
            <w:pPr>
              <w:keepNext/>
              <w:rPr>
                <w:rFonts w:cs="Times New Roman"/>
                <w:sz w:val="16"/>
                <w:szCs w:val="16"/>
              </w:rPr>
            </w:pPr>
            <w:r>
              <w:rPr>
                <w:rFonts w:cs="Times New Roman"/>
                <w:sz w:val="16"/>
                <w:szCs w:val="16"/>
              </w:rPr>
              <w:t>14,271</w:t>
            </w:r>
          </w:p>
        </w:tc>
        <w:tc>
          <w:tcPr>
            <w:tcW w:w="1007" w:type="dxa"/>
            <w:vAlign w:val="center"/>
          </w:tcPr>
          <w:p w14:paraId="781D2BAD" w14:textId="77777777" w:rsidR="00374D49" w:rsidRDefault="00374D49">
            <w:pPr>
              <w:keepNext/>
              <w:rPr>
                <w:rFonts w:cs="Times New Roman"/>
                <w:sz w:val="16"/>
                <w:szCs w:val="16"/>
              </w:rPr>
            </w:pPr>
            <w:r>
              <w:rPr>
                <w:rFonts w:cs="Times New Roman"/>
                <w:sz w:val="16"/>
                <w:szCs w:val="16"/>
              </w:rPr>
              <w:t>8.5</w:t>
            </w:r>
          </w:p>
        </w:tc>
        <w:tc>
          <w:tcPr>
            <w:tcW w:w="1440" w:type="dxa"/>
            <w:vAlign w:val="center"/>
          </w:tcPr>
          <w:p w14:paraId="12218F20" w14:textId="77777777" w:rsidR="00374D49" w:rsidRDefault="00374D49">
            <w:pPr>
              <w:keepNext/>
              <w:rPr>
                <w:rFonts w:cs="Times New Roman"/>
                <w:sz w:val="16"/>
                <w:szCs w:val="16"/>
              </w:rPr>
            </w:pPr>
            <w:r>
              <w:rPr>
                <w:rFonts w:cs="Times New Roman"/>
                <w:sz w:val="16"/>
                <w:szCs w:val="16"/>
              </w:rPr>
              <w:t>9,100</w:t>
            </w:r>
          </w:p>
        </w:tc>
        <w:tc>
          <w:tcPr>
            <w:tcW w:w="1007" w:type="dxa"/>
            <w:vAlign w:val="center"/>
          </w:tcPr>
          <w:p w14:paraId="2C7C7B18" w14:textId="77777777" w:rsidR="00374D49" w:rsidRDefault="00374D49">
            <w:pPr>
              <w:keepNext/>
              <w:rPr>
                <w:rFonts w:cs="Times New Roman"/>
                <w:sz w:val="16"/>
                <w:szCs w:val="16"/>
              </w:rPr>
            </w:pPr>
            <w:r>
              <w:rPr>
                <w:rFonts w:cs="Times New Roman"/>
                <w:sz w:val="16"/>
                <w:szCs w:val="16"/>
              </w:rPr>
              <w:t>5.6</w:t>
            </w:r>
          </w:p>
        </w:tc>
        <w:tc>
          <w:tcPr>
            <w:tcW w:w="1252" w:type="dxa"/>
            <w:vAlign w:val="center"/>
          </w:tcPr>
          <w:p w14:paraId="3E8B1199" w14:textId="77777777" w:rsidR="00374D49" w:rsidRDefault="00374D49">
            <w:pPr>
              <w:keepNext/>
              <w:rPr>
                <w:rFonts w:cs="Times New Roman"/>
                <w:sz w:val="16"/>
                <w:szCs w:val="16"/>
              </w:rPr>
            </w:pPr>
            <w:r>
              <w:rPr>
                <w:rFonts w:cs="Times New Roman"/>
                <w:sz w:val="16"/>
                <w:szCs w:val="16"/>
              </w:rPr>
              <w:t>4.8</w:t>
            </w:r>
          </w:p>
        </w:tc>
      </w:tr>
      <w:tr w:rsidR="00374D49" w14:paraId="717E7E3C" w14:textId="77777777">
        <w:trPr>
          <w:cantSplit/>
        </w:trPr>
        <w:tc>
          <w:tcPr>
            <w:tcW w:w="1440" w:type="dxa"/>
            <w:vAlign w:val="center"/>
          </w:tcPr>
          <w:p w14:paraId="3CF35E71" w14:textId="77777777" w:rsidR="00374D49" w:rsidRDefault="00374D49">
            <w:pPr>
              <w:keepNext/>
              <w:rPr>
                <w:rFonts w:cs="Times New Roman"/>
                <w:sz w:val="16"/>
                <w:szCs w:val="16"/>
              </w:rPr>
            </w:pPr>
            <w:r>
              <w:rPr>
                <w:rFonts w:cs="Times New Roman"/>
                <w:sz w:val="16"/>
                <w:szCs w:val="16"/>
              </w:rPr>
              <w:t>Abia</w:t>
            </w:r>
          </w:p>
        </w:tc>
        <w:tc>
          <w:tcPr>
            <w:tcW w:w="1440" w:type="dxa"/>
            <w:vAlign w:val="center"/>
          </w:tcPr>
          <w:p w14:paraId="5F7AE034"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7F80BDA" w14:textId="77777777" w:rsidR="00374D49" w:rsidRDefault="00374D49">
            <w:pPr>
              <w:keepNext/>
              <w:rPr>
                <w:rFonts w:cs="Times New Roman"/>
                <w:sz w:val="16"/>
                <w:szCs w:val="16"/>
              </w:rPr>
            </w:pPr>
            <w:r>
              <w:rPr>
                <w:rFonts w:cs="Times New Roman"/>
                <w:sz w:val="16"/>
                <w:szCs w:val="16"/>
              </w:rPr>
              <w:t>12,741</w:t>
            </w:r>
          </w:p>
        </w:tc>
        <w:tc>
          <w:tcPr>
            <w:tcW w:w="1007" w:type="dxa"/>
            <w:vAlign w:val="center"/>
          </w:tcPr>
          <w:p w14:paraId="51EB5F52" w14:textId="77777777" w:rsidR="00374D49" w:rsidRDefault="00374D49">
            <w:pPr>
              <w:keepNext/>
              <w:rPr>
                <w:rFonts w:cs="Times New Roman"/>
                <w:sz w:val="16"/>
                <w:szCs w:val="16"/>
              </w:rPr>
            </w:pPr>
            <w:r>
              <w:rPr>
                <w:rFonts w:cs="Times New Roman"/>
                <w:sz w:val="16"/>
                <w:szCs w:val="16"/>
              </w:rPr>
              <w:t>8.9</w:t>
            </w:r>
          </w:p>
        </w:tc>
        <w:tc>
          <w:tcPr>
            <w:tcW w:w="1440" w:type="dxa"/>
            <w:vAlign w:val="center"/>
          </w:tcPr>
          <w:p w14:paraId="4DB49E4F" w14:textId="77777777" w:rsidR="00374D49" w:rsidRDefault="00374D49">
            <w:pPr>
              <w:keepNext/>
              <w:rPr>
                <w:rFonts w:cs="Times New Roman"/>
                <w:sz w:val="16"/>
                <w:szCs w:val="16"/>
              </w:rPr>
            </w:pPr>
            <w:r>
              <w:rPr>
                <w:rFonts w:cs="Times New Roman"/>
                <w:sz w:val="16"/>
                <w:szCs w:val="16"/>
              </w:rPr>
              <w:t>10,508</w:t>
            </w:r>
          </w:p>
        </w:tc>
        <w:tc>
          <w:tcPr>
            <w:tcW w:w="1007" w:type="dxa"/>
            <w:vAlign w:val="center"/>
          </w:tcPr>
          <w:p w14:paraId="252A2E84" w14:textId="77777777" w:rsidR="00374D49" w:rsidRDefault="00374D49">
            <w:pPr>
              <w:keepNext/>
              <w:rPr>
                <w:rFonts w:cs="Times New Roman"/>
                <w:sz w:val="16"/>
                <w:szCs w:val="16"/>
              </w:rPr>
            </w:pPr>
            <w:r>
              <w:rPr>
                <w:rFonts w:cs="Times New Roman"/>
                <w:sz w:val="16"/>
                <w:szCs w:val="16"/>
              </w:rPr>
              <w:t>7.5</w:t>
            </w:r>
          </w:p>
        </w:tc>
        <w:tc>
          <w:tcPr>
            <w:tcW w:w="1252" w:type="dxa"/>
            <w:vAlign w:val="center"/>
          </w:tcPr>
          <w:p w14:paraId="5E47546B" w14:textId="77777777" w:rsidR="00374D49" w:rsidRDefault="00374D49">
            <w:pPr>
              <w:keepNext/>
              <w:rPr>
                <w:rFonts w:cs="Times New Roman"/>
                <w:sz w:val="16"/>
                <w:szCs w:val="16"/>
              </w:rPr>
            </w:pPr>
            <w:r>
              <w:rPr>
                <w:rFonts w:cs="Times New Roman"/>
                <w:sz w:val="16"/>
                <w:szCs w:val="16"/>
              </w:rPr>
              <w:t>31.9</w:t>
            </w:r>
          </w:p>
        </w:tc>
      </w:tr>
      <w:tr w:rsidR="00374D49" w14:paraId="166AC968" w14:textId="77777777">
        <w:trPr>
          <w:cnfStyle w:val="000000100000" w:firstRow="0" w:lastRow="0" w:firstColumn="0" w:lastColumn="0" w:oddVBand="0" w:evenVBand="0" w:oddHBand="1" w:evenHBand="0" w:firstRowFirstColumn="0" w:firstRowLastColumn="0" w:lastRowFirstColumn="0" w:lastRowLastColumn="0"/>
          <w:cantSplit/>
        </w:trPr>
        <w:tc>
          <w:tcPr>
            <w:tcW w:w="1440" w:type="dxa"/>
            <w:vAlign w:val="center"/>
          </w:tcPr>
          <w:p w14:paraId="1CBDBD2F" w14:textId="77777777" w:rsidR="00374D49" w:rsidRDefault="00374D49">
            <w:pPr>
              <w:keepNext/>
              <w:rPr>
                <w:rFonts w:cs="Times New Roman"/>
                <w:sz w:val="16"/>
                <w:szCs w:val="16"/>
              </w:rPr>
            </w:pPr>
            <w:r>
              <w:rPr>
                <w:rFonts w:cs="Times New Roman"/>
                <w:sz w:val="16"/>
                <w:szCs w:val="16"/>
              </w:rPr>
              <w:t>Ebonyi</w:t>
            </w:r>
          </w:p>
        </w:tc>
        <w:tc>
          <w:tcPr>
            <w:tcW w:w="1440" w:type="dxa"/>
            <w:vAlign w:val="center"/>
          </w:tcPr>
          <w:p w14:paraId="360F7171" w14:textId="77777777" w:rsidR="00374D49" w:rsidRDefault="00374D49">
            <w:pPr>
              <w:keepNext/>
              <w:rPr>
                <w:rFonts w:cs="Times New Roman"/>
                <w:sz w:val="16"/>
                <w:szCs w:val="16"/>
              </w:rPr>
            </w:pPr>
            <w:r>
              <w:rPr>
                <w:rFonts w:cs="Times New Roman"/>
                <w:sz w:val="16"/>
                <w:szCs w:val="16"/>
              </w:rPr>
              <w:t>South East</w:t>
            </w:r>
          </w:p>
        </w:tc>
        <w:tc>
          <w:tcPr>
            <w:tcW w:w="1440" w:type="dxa"/>
            <w:vAlign w:val="center"/>
          </w:tcPr>
          <w:p w14:paraId="097FCCD4" w14:textId="77777777" w:rsidR="00374D49" w:rsidRDefault="00374D49">
            <w:pPr>
              <w:keepNext/>
              <w:rPr>
                <w:rFonts w:cs="Times New Roman"/>
                <w:sz w:val="16"/>
                <w:szCs w:val="16"/>
              </w:rPr>
            </w:pPr>
            <w:r>
              <w:rPr>
                <w:rFonts w:cs="Times New Roman"/>
                <w:sz w:val="16"/>
                <w:szCs w:val="16"/>
              </w:rPr>
              <w:t>7,637</w:t>
            </w:r>
          </w:p>
        </w:tc>
        <w:tc>
          <w:tcPr>
            <w:tcW w:w="1007" w:type="dxa"/>
            <w:vAlign w:val="center"/>
          </w:tcPr>
          <w:p w14:paraId="06E18D27" w14:textId="77777777" w:rsidR="00374D49" w:rsidRDefault="00374D49">
            <w:pPr>
              <w:keepNext/>
              <w:rPr>
                <w:rFonts w:cs="Times New Roman"/>
                <w:sz w:val="16"/>
                <w:szCs w:val="16"/>
              </w:rPr>
            </w:pPr>
            <w:r>
              <w:rPr>
                <w:rFonts w:cs="Times New Roman"/>
                <w:sz w:val="16"/>
                <w:szCs w:val="16"/>
              </w:rPr>
              <w:t>6.7</w:t>
            </w:r>
          </w:p>
        </w:tc>
        <w:tc>
          <w:tcPr>
            <w:tcW w:w="1440" w:type="dxa"/>
            <w:vAlign w:val="center"/>
          </w:tcPr>
          <w:p w14:paraId="15F0C41F" w14:textId="77777777" w:rsidR="00374D49" w:rsidRDefault="00374D49">
            <w:pPr>
              <w:keepNext/>
              <w:rPr>
                <w:rFonts w:cs="Times New Roman"/>
                <w:sz w:val="16"/>
                <w:szCs w:val="16"/>
              </w:rPr>
            </w:pPr>
            <w:r>
              <w:rPr>
                <w:rFonts w:cs="Times New Roman"/>
                <w:sz w:val="16"/>
                <w:szCs w:val="16"/>
              </w:rPr>
              <w:t>7,496</w:t>
            </w:r>
          </w:p>
        </w:tc>
        <w:tc>
          <w:tcPr>
            <w:tcW w:w="1007" w:type="dxa"/>
            <w:vAlign w:val="center"/>
          </w:tcPr>
          <w:p w14:paraId="50A0A085" w14:textId="77777777" w:rsidR="00374D49" w:rsidRDefault="00374D49">
            <w:pPr>
              <w:keepNext/>
              <w:rPr>
                <w:rFonts w:cs="Times New Roman"/>
                <w:sz w:val="16"/>
                <w:szCs w:val="16"/>
              </w:rPr>
            </w:pPr>
            <w:r>
              <w:rPr>
                <w:rFonts w:cs="Times New Roman"/>
                <w:sz w:val="16"/>
                <w:szCs w:val="16"/>
              </w:rPr>
              <w:t>6.6</w:t>
            </w:r>
          </w:p>
        </w:tc>
        <w:tc>
          <w:tcPr>
            <w:tcW w:w="1252" w:type="dxa"/>
            <w:vAlign w:val="center"/>
          </w:tcPr>
          <w:p w14:paraId="3D3ADE31" w14:textId="77777777" w:rsidR="00374D49" w:rsidRDefault="00374D49">
            <w:pPr>
              <w:keepNext/>
              <w:rPr>
                <w:rFonts w:cs="Times New Roman"/>
                <w:sz w:val="16"/>
                <w:szCs w:val="16"/>
              </w:rPr>
            </w:pPr>
            <w:r>
              <w:rPr>
                <w:rFonts w:cs="Times New Roman"/>
                <w:sz w:val="16"/>
                <w:szCs w:val="16"/>
              </w:rPr>
              <w:t>10.8</w:t>
            </w:r>
          </w:p>
        </w:tc>
      </w:tr>
    </w:tbl>
    <w:p w14:paraId="19BD58D3" w14:textId="77777777" w:rsidR="00374D49" w:rsidRDefault="00374D49">
      <w:pPr>
        <w:spacing w:after="200" w:line="276" w:lineRule="auto"/>
        <w:jc w:val="both"/>
        <w:rPr>
          <w:rFonts w:cs="Times New Roman"/>
          <w:i/>
          <w:sz w:val="16"/>
          <w:szCs w:val="16"/>
        </w:rPr>
      </w:pPr>
      <w:r>
        <w:rPr>
          <w:rFonts w:cs="Times New Roman"/>
          <w:i/>
          <w:sz w:val="16"/>
          <w:szCs w:val="16"/>
        </w:rPr>
        <w:t>Model estimate, 2026. Method 1: Bayesian hierarchical model with DHIS2-calibrated LGA allocation; Method 2: Bayesian small-area estimation (SAE). States ordered by zone and Method 1 burden.</w:t>
      </w:r>
    </w:p>
    <w:p w14:paraId="1005596B" w14:textId="77777777" w:rsidR="00B941FD" w:rsidRPr="00374D49" w:rsidRDefault="00B941FD" w:rsidP="00FD4A5B">
      <w:pPr>
        <w:spacing w:after="140" w:line="276" w:lineRule="auto"/>
        <w:jc w:val="both"/>
        <w:rPr>
          <w:rFonts w:cs="Times New Roman"/>
          <w:color w:val="000000" w:themeColor="text1"/>
          <w:szCs w:val="24"/>
        </w:rPr>
      </w:pPr>
      <w:r>
        <w:rPr>
          <w:rFonts w:cs="Times New Roman"/>
          <w:color w:val="000000" w:themeColor="text1"/>
          <w:szCs w:val="24"/>
        </w:rPr>
        <w:t xml:space="preserve">At LGA level the methods agree on which LGAs carry the burden (rank correlation ρ = 0.75 across 773 LGAs; 107 of the top 155 LGAs are shared), but individual LGAs can differ </w:t>
      </w:r>
      <w:r>
        <w:rPr>
          <w:rFonts w:cs="Times New Roman"/>
          <w:color w:val="000000" w:themeColor="text1"/>
          <w:szCs w:val="24"/>
        </w:rPr>
        <w:lastRenderedPageBreak/>
        <w:t>substantially. Method 1 follows each LGA's share of reported Penta1 doses: very high reported doses push its rate toward the 1% floor (for example Rabah and Goronyo in Sokoto) and low reported doses push it up (for example Sokoto North). Method 2 is not affected by reporting volumes. LGAs with large differences between the methods are therefore priorities for data-quality review as well as for programme attention.</w:t>
      </w:r>
    </w:p>
    <w:p w14:paraId="38440B47"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A1C6D57" wp14:editId="4F9B6896">
            <wp:extent cx="5733288" cy="2643804"/>
            <wp:effectExtent l="0" t="0" r="0" b="0"/>
            <wp:docPr id="1964530415" name="Picture 1964530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5_lga_scatter.png"/>
                    <pic:cNvPicPr/>
                  </pic:nvPicPr>
                  <pic:blipFill>
                    <a:blip r:embed="rId38"/>
                    <a:stretch>
                      <a:fillRect/>
                    </a:stretch>
                  </pic:blipFill>
                  <pic:spPr>
                    <a:xfrm>
                      <a:off x="0" y="0"/>
                      <a:ext cx="5733288" cy="2643804"/>
                    </a:xfrm>
                    <a:prstGeom prst="rect">
                      <a:avLst/>
                    </a:prstGeom>
                  </pic:spPr>
                </pic:pic>
              </a:graphicData>
            </a:graphic>
          </wp:inline>
        </w:drawing>
      </w:r>
    </w:p>
    <w:p w14:paraId="25717F7B" w14:textId="77777777" w:rsidR="00B941FD" w:rsidRPr="00374D49" w:rsidRDefault="00B941FD" w:rsidP="00FD4A5B">
      <w:pPr>
        <w:pStyle w:val="MyFigures"/>
        <w:spacing w:line="276" w:lineRule="auto"/>
      </w:pPr>
      <w:bookmarkStart w:id="85" w:name="_Toc242408010"/>
      <w:r>
        <w:t>Figure 16i. LGA-level agreement between Method 1 and Method 2, 773 LGAs.</w:t>
      </w:r>
      <w:bookmarkEnd w:id="85"/>
    </w:p>
    <w:p w14:paraId="0E345F9D" w14:textId="77777777" w:rsidR="003D146D" w:rsidRPr="00374D49" w:rsidRDefault="003D146D" w:rsidP="00FD4A5B">
      <w:pPr>
        <w:pStyle w:val="MyTables"/>
        <w:keepNext/>
        <w:spacing w:line="276" w:lineRule="auto"/>
      </w:pPr>
      <w:bookmarkStart w:id="86" w:name="_Toc242407974"/>
      <w:r>
        <w:t>Table 6g. LGAs needed to reach 50%, 60% and 80% of zero-dose children, by method.</w:t>
      </w:r>
      <w:bookmarkEnd w:id="86"/>
    </w:p>
    <w:tbl>
      <w:tblPr>
        <w:tblStyle w:val="PlainTable5"/>
        <w:tblW w:w="9028" w:type="dxa"/>
        <w:tblLook w:val="0420" w:firstRow="1" w:lastRow="0" w:firstColumn="0" w:lastColumn="0" w:noHBand="0" w:noVBand="1"/>
      </w:tblPr>
      <w:tblGrid>
        <w:gridCol w:w="3312"/>
        <w:gridCol w:w="2880"/>
        <w:gridCol w:w="2836"/>
      </w:tblGrid>
      <w:tr w:rsidR="00374D49" w14:paraId="763D3D6C" w14:textId="77777777">
        <w:trPr>
          <w:cnfStyle w:val="100000000000" w:firstRow="1" w:lastRow="0" w:firstColumn="0" w:lastColumn="0" w:oddVBand="0" w:evenVBand="0" w:oddHBand="0" w:evenHBand="0" w:firstRowFirstColumn="0" w:firstRowLastColumn="0" w:lastRowFirstColumn="0" w:lastRowLastColumn="0"/>
          <w:cantSplit/>
          <w:tblHeader/>
        </w:trPr>
        <w:tc>
          <w:tcPr>
            <w:tcW w:w="3311" w:type="dxa"/>
            <w:vAlign w:val="center"/>
          </w:tcPr>
          <w:p w14:paraId="0A44B9EB" w14:textId="77777777" w:rsidR="00374D49" w:rsidRDefault="00374D49">
            <w:pPr>
              <w:keepNext/>
              <w:rPr>
                <w:rFonts w:cs="Times New Roman"/>
                <w:b/>
                <w:sz w:val="16"/>
                <w:szCs w:val="16"/>
              </w:rPr>
            </w:pPr>
            <w:r>
              <w:rPr>
                <w:rFonts w:cs="Times New Roman"/>
                <w:b/>
                <w:sz w:val="16"/>
                <w:szCs w:val="16"/>
              </w:rPr>
              <w:t>Share of zero-dose children</w:t>
            </w:r>
          </w:p>
        </w:tc>
        <w:tc>
          <w:tcPr>
            <w:tcW w:w="2880" w:type="dxa"/>
            <w:vAlign w:val="center"/>
          </w:tcPr>
          <w:p w14:paraId="099D2279" w14:textId="77777777" w:rsidR="00374D49" w:rsidRDefault="00374D49">
            <w:pPr>
              <w:keepNext/>
              <w:rPr>
                <w:rFonts w:cs="Times New Roman"/>
                <w:b/>
                <w:sz w:val="16"/>
                <w:szCs w:val="16"/>
              </w:rPr>
            </w:pPr>
            <w:r>
              <w:rPr>
                <w:rFonts w:cs="Times New Roman"/>
                <w:b/>
                <w:sz w:val="16"/>
                <w:szCs w:val="16"/>
              </w:rPr>
              <w:t>Method 1: LGAs (% of LGAs)</w:t>
            </w:r>
          </w:p>
        </w:tc>
        <w:tc>
          <w:tcPr>
            <w:tcW w:w="2836" w:type="dxa"/>
            <w:vAlign w:val="center"/>
          </w:tcPr>
          <w:p w14:paraId="6C4034FA" w14:textId="77777777" w:rsidR="00374D49" w:rsidRDefault="00374D49">
            <w:pPr>
              <w:keepNext/>
              <w:rPr>
                <w:rFonts w:cs="Times New Roman"/>
                <w:b/>
                <w:sz w:val="16"/>
                <w:szCs w:val="16"/>
              </w:rPr>
            </w:pPr>
            <w:r>
              <w:rPr>
                <w:rFonts w:cs="Times New Roman"/>
                <w:b/>
                <w:sz w:val="16"/>
                <w:szCs w:val="16"/>
              </w:rPr>
              <w:t>Method 2: LGAs (% of LGAs)</w:t>
            </w:r>
          </w:p>
        </w:tc>
      </w:tr>
      <w:tr w:rsidR="00374D49" w14:paraId="7FE523BB"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266A59F0" w14:textId="77777777" w:rsidR="00374D49" w:rsidRDefault="00374D49">
            <w:pPr>
              <w:keepNext/>
              <w:rPr>
                <w:rFonts w:cs="Times New Roman"/>
                <w:sz w:val="16"/>
                <w:szCs w:val="16"/>
              </w:rPr>
            </w:pPr>
            <w:r>
              <w:rPr>
                <w:rFonts w:cs="Times New Roman"/>
                <w:sz w:val="16"/>
                <w:szCs w:val="16"/>
              </w:rPr>
              <w:t>50%</w:t>
            </w:r>
          </w:p>
        </w:tc>
        <w:tc>
          <w:tcPr>
            <w:tcW w:w="2880" w:type="dxa"/>
            <w:vAlign w:val="center"/>
          </w:tcPr>
          <w:p w14:paraId="59090FD9" w14:textId="77777777" w:rsidR="00374D49" w:rsidRDefault="00374D49">
            <w:pPr>
              <w:keepNext/>
              <w:rPr>
                <w:rFonts w:cs="Times New Roman"/>
                <w:sz w:val="16"/>
                <w:szCs w:val="16"/>
              </w:rPr>
            </w:pPr>
            <w:r>
              <w:rPr>
                <w:rFonts w:cs="Times New Roman"/>
                <w:sz w:val="16"/>
                <w:szCs w:val="16"/>
              </w:rPr>
              <w:t>151 (19.5%)</w:t>
            </w:r>
          </w:p>
        </w:tc>
        <w:tc>
          <w:tcPr>
            <w:tcW w:w="2836" w:type="dxa"/>
            <w:vAlign w:val="center"/>
          </w:tcPr>
          <w:p w14:paraId="4BB1D27F" w14:textId="77777777" w:rsidR="00374D49" w:rsidRDefault="00374D49">
            <w:pPr>
              <w:keepNext/>
              <w:rPr>
                <w:rFonts w:cs="Times New Roman"/>
                <w:sz w:val="16"/>
                <w:szCs w:val="16"/>
              </w:rPr>
            </w:pPr>
            <w:r>
              <w:rPr>
                <w:rFonts w:cs="Times New Roman"/>
                <w:sz w:val="16"/>
                <w:szCs w:val="16"/>
              </w:rPr>
              <w:t>138 (17.8%)</w:t>
            </w:r>
          </w:p>
        </w:tc>
      </w:tr>
      <w:tr w:rsidR="00374D49" w14:paraId="52424136" w14:textId="77777777">
        <w:trPr>
          <w:cantSplit/>
        </w:trPr>
        <w:tc>
          <w:tcPr>
            <w:tcW w:w="3311" w:type="dxa"/>
            <w:vAlign w:val="center"/>
          </w:tcPr>
          <w:p w14:paraId="1498B5B9" w14:textId="77777777" w:rsidR="00374D49" w:rsidRDefault="00374D49">
            <w:pPr>
              <w:keepNext/>
              <w:rPr>
                <w:rFonts w:cs="Times New Roman"/>
                <w:sz w:val="16"/>
                <w:szCs w:val="16"/>
              </w:rPr>
            </w:pPr>
            <w:r>
              <w:rPr>
                <w:rFonts w:cs="Times New Roman"/>
                <w:sz w:val="16"/>
                <w:szCs w:val="16"/>
              </w:rPr>
              <w:t>60%</w:t>
            </w:r>
          </w:p>
        </w:tc>
        <w:tc>
          <w:tcPr>
            <w:tcW w:w="2880" w:type="dxa"/>
            <w:vAlign w:val="center"/>
          </w:tcPr>
          <w:p w14:paraId="41802631" w14:textId="77777777" w:rsidR="00374D49" w:rsidRDefault="00374D49">
            <w:pPr>
              <w:keepNext/>
              <w:rPr>
                <w:rFonts w:cs="Times New Roman"/>
                <w:sz w:val="16"/>
                <w:szCs w:val="16"/>
              </w:rPr>
            </w:pPr>
            <w:r>
              <w:rPr>
                <w:rFonts w:cs="Times New Roman"/>
                <w:sz w:val="16"/>
                <w:szCs w:val="16"/>
              </w:rPr>
              <w:t>199 (25.7%)</w:t>
            </w:r>
          </w:p>
        </w:tc>
        <w:tc>
          <w:tcPr>
            <w:tcW w:w="2836" w:type="dxa"/>
            <w:vAlign w:val="center"/>
          </w:tcPr>
          <w:p w14:paraId="6C45F12D" w14:textId="77777777" w:rsidR="00374D49" w:rsidRDefault="00374D49">
            <w:pPr>
              <w:keepNext/>
              <w:rPr>
                <w:rFonts w:cs="Times New Roman"/>
                <w:sz w:val="16"/>
                <w:szCs w:val="16"/>
              </w:rPr>
            </w:pPr>
            <w:r>
              <w:rPr>
                <w:rFonts w:cs="Times New Roman"/>
                <w:sz w:val="16"/>
                <w:szCs w:val="16"/>
              </w:rPr>
              <w:t>181 (23.4%)</w:t>
            </w:r>
          </w:p>
        </w:tc>
      </w:tr>
      <w:tr w:rsidR="00374D49" w14:paraId="5591EF17" w14:textId="77777777">
        <w:trPr>
          <w:cnfStyle w:val="000000100000" w:firstRow="0" w:lastRow="0" w:firstColumn="0" w:lastColumn="0" w:oddVBand="0" w:evenVBand="0" w:oddHBand="1" w:evenHBand="0" w:firstRowFirstColumn="0" w:firstRowLastColumn="0" w:lastRowFirstColumn="0" w:lastRowLastColumn="0"/>
          <w:cantSplit/>
        </w:trPr>
        <w:tc>
          <w:tcPr>
            <w:tcW w:w="3311" w:type="dxa"/>
            <w:vAlign w:val="center"/>
          </w:tcPr>
          <w:p w14:paraId="52CC83D1" w14:textId="77777777" w:rsidR="00374D49" w:rsidRDefault="00374D49">
            <w:pPr>
              <w:keepNext/>
              <w:rPr>
                <w:rFonts w:cs="Times New Roman"/>
                <w:sz w:val="16"/>
                <w:szCs w:val="16"/>
              </w:rPr>
            </w:pPr>
            <w:r>
              <w:rPr>
                <w:rFonts w:cs="Times New Roman"/>
                <w:sz w:val="16"/>
                <w:szCs w:val="16"/>
              </w:rPr>
              <w:t>80%</w:t>
            </w:r>
          </w:p>
        </w:tc>
        <w:tc>
          <w:tcPr>
            <w:tcW w:w="2880" w:type="dxa"/>
            <w:vAlign w:val="center"/>
          </w:tcPr>
          <w:p w14:paraId="0AE9C28B" w14:textId="77777777" w:rsidR="00374D49" w:rsidRDefault="00374D49">
            <w:pPr>
              <w:keepNext/>
              <w:rPr>
                <w:rFonts w:cs="Times New Roman"/>
                <w:sz w:val="16"/>
                <w:szCs w:val="16"/>
              </w:rPr>
            </w:pPr>
            <w:r>
              <w:rPr>
                <w:rFonts w:cs="Times New Roman"/>
                <w:sz w:val="16"/>
                <w:szCs w:val="16"/>
              </w:rPr>
              <w:t>342 (44.2%)</w:t>
            </w:r>
          </w:p>
        </w:tc>
        <w:tc>
          <w:tcPr>
            <w:tcW w:w="2836" w:type="dxa"/>
            <w:vAlign w:val="center"/>
          </w:tcPr>
          <w:p w14:paraId="44D90B43" w14:textId="77777777" w:rsidR="00374D49" w:rsidRDefault="00374D49">
            <w:pPr>
              <w:keepNext/>
              <w:rPr>
                <w:rFonts w:cs="Times New Roman"/>
                <w:sz w:val="16"/>
                <w:szCs w:val="16"/>
              </w:rPr>
            </w:pPr>
            <w:r>
              <w:rPr>
                <w:rFonts w:cs="Times New Roman"/>
                <w:sz w:val="16"/>
                <w:szCs w:val="16"/>
              </w:rPr>
              <w:t>319 (41.2%)</w:t>
            </w:r>
          </w:p>
        </w:tc>
      </w:tr>
      <w:tr w:rsidR="00374D49" w14:paraId="197C0CED" w14:textId="77777777">
        <w:trPr>
          <w:cantSplit/>
        </w:trPr>
        <w:tc>
          <w:tcPr>
            <w:tcW w:w="3311" w:type="dxa"/>
            <w:vAlign w:val="center"/>
          </w:tcPr>
          <w:p w14:paraId="5A8E38D2" w14:textId="77777777" w:rsidR="00374D49" w:rsidRDefault="00374D49">
            <w:pPr>
              <w:keepNext/>
              <w:rPr>
                <w:rFonts w:cs="Times New Roman"/>
                <w:sz w:val="16"/>
                <w:szCs w:val="16"/>
              </w:rPr>
            </w:pPr>
            <w:r>
              <w:rPr>
                <w:rFonts w:cs="Times New Roman"/>
                <w:sz w:val="16"/>
                <w:szCs w:val="16"/>
              </w:rPr>
              <w:t>Share held by the top 155 LGAs (20%)</w:t>
            </w:r>
          </w:p>
        </w:tc>
        <w:tc>
          <w:tcPr>
            <w:tcW w:w="2880" w:type="dxa"/>
            <w:vAlign w:val="center"/>
          </w:tcPr>
          <w:p w14:paraId="1D26A69C" w14:textId="77777777" w:rsidR="00374D49" w:rsidRDefault="00374D49">
            <w:pPr>
              <w:keepNext/>
              <w:rPr>
                <w:rFonts w:cs="Times New Roman"/>
                <w:sz w:val="16"/>
                <w:szCs w:val="16"/>
              </w:rPr>
            </w:pPr>
            <w:r>
              <w:rPr>
                <w:rFonts w:cs="Times New Roman"/>
                <w:sz w:val="16"/>
                <w:szCs w:val="16"/>
              </w:rPr>
              <w:t>50.9% (46.9-54.7)</w:t>
            </w:r>
          </w:p>
        </w:tc>
        <w:tc>
          <w:tcPr>
            <w:tcW w:w="2836" w:type="dxa"/>
            <w:vAlign w:val="center"/>
          </w:tcPr>
          <w:p w14:paraId="6ED26BBC" w14:textId="77777777" w:rsidR="00374D49" w:rsidRDefault="00374D49">
            <w:pPr>
              <w:keepNext/>
              <w:rPr>
                <w:rFonts w:cs="Times New Roman"/>
                <w:sz w:val="16"/>
                <w:szCs w:val="16"/>
              </w:rPr>
            </w:pPr>
            <w:r>
              <w:rPr>
                <w:rFonts w:cs="Times New Roman"/>
                <w:sz w:val="16"/>
                <w:szCs w:val="16"/>
              </w:rPr>
              <w:t>54.2% (49.6-58.6)</w:t>
            </w:r>
          </w:p>
        </w:tc>
      </w:tr>
    </w:tbl>
    <w:p w14:paraId="47089CDD" w14:textId="77777777" w:rsidR="00374D49" w:rsidRDefault="00374D49">
      <w:pPr>
        <w:spacing w:after="200" w:line="276" w:lineRule="auto"/>
        <w:jc w:val="both"/>
        <w:rPr>
          <w:rFonts w:cs="Times New Roman"/>
          <w:i/>
          <w:sz w:val="16"/>
          <w:szCs w:val="16"/>
        </w:rPr>
      </w:pPr>
      <w:r>
        <w:rPr>
          <w:rFonts w:cs="Times New Roman"/>
          <w:i/>
          <w:sz w:val="16"/>
          <w:szCs w:val="16"/>
        </w:rPr>
        <w:t>Model estimate, 2026. LGAs ranked from highest to lowest modelled burden; intervals are 95% credible intervals.</w:t>
      </w:r>
    </w:p>
    <w:p w14:paraId="3076B00A"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drawing>
          <wp:inline distT="0" distB="0" distL="0" distR="0" wp14:anchorId="1808355C" wp14:editId="0DF3CF5C">
            <wp:extent cx="4937760" cy="2976288"/>
            <wp:effectExtent l="0" t="0" r="0" b="0"/>
            <wp:docPr id="1964530416" name="Picture 196453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4_pareto_both_methods.png"/>
                    <pic:cNvPicPr/>
                  </pic:nvPicPr>
                  <pic:blipFill>
                    <a:blip r:embed="rId39"/>
                    <a:stretch>
                      <a:fillRect/>
                    </a:stretch>
                  </pic:blipFill>
                  <pic:spPr>
                    <a:xfrm>
                      <a:off x="0" y="0"/>
                      <a:ext cx="4937760" cy="2976288"/>
                    </a:xfrm>
                    <a:prstGeom prst="rect">
                      <a:avLst/>
                    </a:prstGeom>
                  </pic:spPr>
                </pic:pic>
              </a:graphicData>
            </a:graphic>
          </wp:inline>
        </w:drawing>
      </w:r>
    </w:p>
    <w:p w14:paraId="544C3CBC" w14:textId="77777777" w:rsidR="00B941FD" w:rsidRPr="00374D49" w:rsidRDefault="00B941FD" w:rsidP="00FD4A5B">
      <w:pPr>
        <w:pStyle w:val="MyFigures"/>
        <w:spacing w:line="276" w:lineRule="auto"/>
      </w:pPr>
      <w:bookmarkStart w:id="87" w:name="_Toc242408011"/>
      <w:r>
        <w:t>Figure 16j. Cumulative share of modelled zero-dose children by number of LGAs targeted, both methods.</w:t>
      </w:r>
      <w:bookmarkEnd w:id="87"/>
    </w:p>
    <w:p w14:paraId="0BC2CE9E" w14:textId="77777777" w:rsidR="003D146D" w:rsidRPr="00374D49" w:rsidRDefault="003D146D" w:rsidP="00FD4A5B">
      <w:pPr>
        <w:pStyle w:val="MyTables"/>
        <w:keepNext/>
        <w:spacing w:line="276" w:lineRule="auto"/>
      </w:pPr>
      <w:bookmarkStart w:id="88" w:name="_Toc242407975"/>
      <w:r>
        <w:lastRenderedPageBreak/>
        <w:t>Table 6h. Which estimate to use for which decision.</w:t>
      </w:r>
      <w:bookmarkEnd w:id="88"/>
    </w:p>
    <w:tbl>
      <w:tblPr>
        <w:tblStyle w:val="PlainTable5"/>
        <w:tblW w:w="9028" w:type="dxa"/>
        <w:tblLook w:val="0420" w:firstRow="1" w:lastRow="0" w:firstColumn="0" w:lastColumn="0" w:noHBand="0" w:noVBand="1"/>
      </w:tblPr>
      <w:tblGrid>
        <w:gridCol w:w="2592"/>
        <w:gridCol w:w="3024"/>
        <w:gridCol w:w="3412"/>
      </w:tblGrid>
      <w:tr w:rsidR="00374D49" w14:paraId="034667EF" w14:textId="77777777">
        <w:trPr>
          <w:cnfStyle w:val="100000000000" w:firstRow="1" w:lastRow="0" w:firstColumn="0" w:lastColumn="0" w:oddVBand="0" w:evenVBand="0" w:oddHBand="0" w:evenHBand="0" w:firstRowFirstColumn="0" w:firstRowLastColumn="0" w:lastRowFirstColumn="0" w:lastRowLastColumn="0"/>
          <w:cantSplit/>
          <w:tblHeader/>
        </w:trPr>
        <w:tc>
          <w:tcPr>
            <w:tcW w:w="2592" w:type="dxa"/>
            <w:vAlign w:val="center"/>
          </w:tcPr>
          <w:p w14:paraId="4B7D4077" w14:textId="77777777" w:rsidR="00374D49" w:rsidRDefault="00374D49">
            <w:pPr>
              <w:keepNext/>
              <w:rPr>
                <w:rFonts w:cs="Times New Roman"/>
                <w:b/>
                <w:sz w:val="16"/>
                <w:szCs w:val="16"/>
              </w:rPr>
            </w:pPr>
            <w:r>
              <w:rPr>
                <w:rFonts w:cs="Times New Roman"/>
                <w:b/>
                <w:sz w:val="16"/>
                <w:szCs w:val="16"/>
              </w:rPr>
              <w:t>Decision</w:t>
            </w:r>
          </w:p>
        </w:tc>
        <w:tc>
          <w:tcPr>
            <w:tcW w:w="3024" w:type="dxa"/>
            <w:vAlign w:val="center"/>
          </w:tcPr>
          <w:p w14:paraId="1F1EF07F" w14:textId="77777777" w:rsidR="00374D49" w:rsidRDefault="00374D49">
            <w:pPr>
              <w:keepNext/>
              <w:rPr>
                <w:rFonts w:cs="Times New Roman"/>
                <w:b/>
                <w:sz w:val="16"/>
                <w:szCs w:val="16"/>
              </w:rPr>
            </w:pPr>
            <w:r>
              <w:rPr>
                <w:rFonts w:cs="Times New Roman"/>
                <w:b/>
                <w:sz w:val="16"/>
                <w:szCs w:val="16"/>
              </w:rPr>
              <w:t>Recommended estimate</w:t>
            </w:r>
          </w:p>
        </w:tc>
        <w:tc>
          <w:tcPr>
            <w:tcW w:w="3412" w:type="dxa"/>
            <w:vAlign w:val="center"/>
          </w:tcPr>
          <w:p w14:paraId="00FCF4C2" w14:textId="77777777" w:rsidR="00374D49" w:rsidRDefault="00374D49">
            <w:pPr>
              <w:keepNext/>
              <w:rPr>
                <w:rFonts w:cs="Times New Roman"/>
                <w:b/>
                <w:sz w:val="16"/>
                <w:szCs w:val="16"/>
              </w:rPr>
            </w:pPr>
            <w:r>
              <w:rPr>
                <w:rFonts w:cs="Times New Roman"/>
                <w:b/>
                <w:sz w:val="16"/>
                <w:szCs w:val="16"/>
              </w:rPr>
              <w:t>Reason</w:t>
            </w:r>
          </w:p>
        </w:tc>
      </w:tr>
      <w:tr w:rsidR="00374D49" w14:paraId="22C2B9C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3F0DEACE" w14:textId="77777777" w:rsidR="00374D49" w:rsidRDefault="00374D49">
            <w:pPr>
              <w:keepNext/>
              <w:rPr>
                <w:rFonts w:cs="Times New Roman"/>
                <w:sz w:val="16"/>
                <w:szCs w:val="16"/>
              </w:rPr>
            </w:pPr>
            <w:r>
              <w:rPr>
                <w:rFonts w:cs="Times New Roman"/>
                <w:sz w:val="16"/>
                <w:szCs w:val="16"/>
              </w:rPr>
              <w:t>National, zone and state totals</w:t>
            </w:r>
          </w:p>
        </w:tc>
        <w:tc>
          <w:tcPr>
            <w:tcW w:w="3024" w:type="dxa"/>
            <w:vAlign w:val="center"/>
          </w:tcPr>
          <w:p w14:paraId="13F5C1E8" w14:textId="77777777" w:rsidR="00374D49" w:rsidRDefault="00374D49">
            <w:pPr>
              <w:keepNext/>
              <w:rPr>
                <w:rFonts w:cs="Times New Roman"/>
                <w:sz w:val="16"/>
                <w:szCs w:val="16"/>
              </w:rPr>
            </w:pPr>
            <w:r>
              <w:rPr>
                <w:rFonts w:cs="Times New Roman"/>
                <w:sz w:val="16"/>
                <w:szCs w:val="16"/>
              </w:rPr>
              <w:t>Either; report Method 1 with Method 2 as the sensitivity range</w:t>
            </w:r>
          </w:p>
        </w:tc>
        <w:tc>
          <w:tcPr>
            <w:tcW w:w="3412" w:type="dxa"/>
            <w:vAlign w:val="center"/>
          </w:tcPr>
          <w:p w14:paraId="561C9D13" w14:textId="77777777" w:rsidR="00374D49" w:rsidRDefault="00374D49">
            <w:pPr>
              <w:keepNext/>
              <w:rPr>
                <w:rFonts w:cs="Times New Roman"/>
                <w:sz w:val="16"/>
                <w:szCs w:val="16"/>
              </w:rPr>
            </w:pPr>
            <w:r>
              <w:rPr>
                <w:rFonts w:cs="Times New Roman"/>
                <w:sz w:val="16"/>
                <w:szCs w:val="16"/>
              </w:rPr>
              <w:t>Totals agree within 2.4% nationally; state ranks agree (ρ = 0.96); both match NmDHS 2025-26</w:t>
            </w:r>
          </w:p>
        </w:tc>
      </w:tr>
      <w:tr w:rsidR="00374D49" w14:paraId="5543275F" w14:textId="77777777">
        <w:trPr>
          <w:cantSplit/>
        </w:trPr>
        <w:tc>
          <w:tcPr>
            <w:tcW w:w="2592" w:type="dxa"/>
            <w:vAlign w:val="center"/>
          </w:tcPr>
          <w:p w14:paraId="235E7D0F" w14:textId="77777777" w:rsidR="00374D49" w:rsidRDefault="00374D49">
            <w:pPr>
              <w:keepNext/>
              <w:rPr>
                <w:rFonts w:cs="Times New Roman"/>
                <w:sz w:val="16"/>
                <w:szCs w:val="16"/>
              </w:rPr>
            </w:pPr>
            <w:r>
              <w:rPr>
                <w:rFonts w:cs="Times New Roman"/>
                <w:sz w:val="16"/>
                <w:szCs w:val="16"/>
              </w:rPr>
              <w:t>Ranking LGAs within a state</w:t>
            </w:r>
          </w:p>
        </w:tc>
        <w:tc>
          <w:tcPr>
            <w:tcW w:w="3024" w:type="dxa"/>
            <w:vAlign w:val="center"/>
          </w:tcPr>
          <w:p w14:paraId="7AF079E5" w14:textId="77777777" w:rsidR="00374D49" w:rsidRDefault="00374D49">
            <w:pPr>
              <w:keepNext/>
              <w:rPr>
                <w:rFonts w:cs="Times New Roman"/>
                <w:sz w:val="16"/>
                <w:szCs w:val="16"/>
              </w:rPr>
            </w:pPr>
            <w:r>
              <w:rPr>
                <w:rFonts w:cs="Times New Roman"/>
                <w:sz w:val="16"/>
                <w:szCs w:val="16"/>
              </w:rPr>
              <w:t>Method 2</w:t>
            </w:r>
          </w:p>
        </w:tc>
        <w:tc>
          <w:tcPr>
            <w:tcW w:w="3412" w:type="dxa"/>
            <w:vAlign w:val="center"/>
          </w:tcPr>
          <w:p w14:paraId="76813109" w14:textId="77777777" w:rsidR="00374D49" w:rsidRDefault="00374D49">
            <w:pPr>
              <w:keepNext/>
              <w:rPr>
                <w:rFonts w:cs="Times New Roman"/>
                <w:sz w:val="16"/>
                <w:szCs w:val="16"/>
              </w:rPr>
            </w:pPr>
            <w:r>
              <w:rPr>
                <w:rFonts w:cs="Times New Roman"/>
                <w:sz w:val="16"/>
                <w:szCs w:val="16"/>
              </w:rPr>
              <w:t>Covers all 774 LGAs with full uncertainty; within-state agreement with IHME ρ = 0.54 vs 0.08</w:t>
            </w:r>
          </w:p>
        </w:tc>
      </w:tr>
      <w:tr w:rsidR="00374D49" w14:paraId="7717CF1C"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0C4A4028" w14:textId="77777777" w:rsidR="00374D49" w:rsidRDefault="00374D49">
            <w:pPr>
              <w:keepNext/>
              <w:rPr>
                <w:rFonts w:cs="Times New Roman"/>
                <w:sz w:val="16"/>
                <w:szCs w:val="16"/>
              </w:rPr>
            </w:pPr>
            <w:r>
              <w:rPr>
                <w:rFonts w:cs="Times New Roman"/>
                <w:sz w:val="16"/>
                <w:szCs w:val="16"/>
              </w:rPr>
              <w:t>Selecting priority LGAs for funding</w:t>
            </w:r>
          </w:p>
        </w:tc>
        <w:tc>
          <w:tcPr>
            <w:tcW w:w="3024" w:type="dxa"/>
            <w:vAlign w:val="center"/>
          </w:tcPr>
          <w:p w14:paraId="178BED70" w14:textId="77777777" w:rsidR="00374D49" w:rsidRDefault="00374D49">
            <w:pPr>
              <w:keepNext/>
              <w:rPr>
                <w:rFonts w:cs="Times New Roman"/>
                <w:sz w:val="16"/>
                <w:szCs w:val="16"/>
              </w:rPr>
            </w:pPr>
            <w:r>
              <w:rPr>
                <w:rFonts w:cs="Times New Roman"/>
                <w:sz w:val="16"/>
                <w:szCs w:val="16"/>
              </w:rPr>
              <w:t>The 107 LGAs in the top 155 under both methods first</w:t>
            </w:r>
          </w:p>
        </w:tc>
        <w:tc>
          <w:tcPr>
            <w:tcW w:w="3412" w:type="dxa"/>
            <w:vAlign w:val="center"/>
          </w:tcPr>
          <w:p w14:paraId="6E20B049" w14:textId="77777777" w:rsidR="00374D49" w:rsidRDefault="00374D49">
            <w:pPr>
              <w:keepNext/>
              <w:rPr>
                <w:rFonts w:cs="Times New Roman"/>
                <w:sz w:val="16"/>
                <w:szCs w:val="16"/>
              </w:rPr>
            </w:pPr>
            <w:r>
              <w:rPr>
                <w:rFonts w:cs="Times New Roman"/>
                <w:sz w:val="16"/>
                <w:szCs w:val="16"/>
              </w:rPr>
              <w:t>Robust to the choice of method; then add LGAs with high Method 2 priority probability</w:t>
            </w:r>
          </w:p>
        </w:tc>
      </w:tr>
      <w:tr w:rsidR="00374D49" w14:paraId="1A7DEAEA" w14:textId="77777777">
        <w:trPr>
          <w:cantSplit/>
        </w:trPr>
        <w:tc>
          <w:tcPr>
            <w:tcW w:w="2592" w:type="dxa"/>
            <w:vAlign w:val="center"/>
          </w:tcPr>
          <w:p w14:paraId="67716945" w14:textId="77777777" w:rsidR="00374D49" w:rsidRDefault="00374D49">
            <w:pPr>
              <w:keepNext/>
              <w:rPr>
                <w:rFonts w:cs="Times New Roman"/>
                <w:sz w:val="16"/>
                <w:szCs w:val="16"/>
              </w:rPr>
            </w:pPr>
            <w:r>
              <w:rPr>
                <w:rFonts w:cs="Times New Roman"/>
                <w:sz w:val="16"/>
                <w:szCs w:val="16"/>
              </w:rPr>
              <w:t>Tracking change and early warning</w:t>
            </w:r>
          </w:p>
        </w:tc>
        <w:tc>
          <w:tcPr>
            <w:tcW w:w="3024" w:type="dxa"/>
            <w:vAlign w:val="center"/>
          </w:tcPr>
          <w:p w14:paraId="04E05EE7" w14:textId="77777777" w:rsidR="00374D49" w:rsidRDefault="00374D49">
            <w:pPr>
              <w:keepNext/>
              <w:rPr>
                <w:rFonts w:cs="Times New Roman"/>
                <w:sz w:val="16"/>
                <w:szCs w:val="16"/>
              </w:rPr>
            </w:pPr>
            <w:r>
              <w:rPr>
                <w:rFonts w:cs="Times New Roman"/>
                <w:sz w:val="16"/>
                <w:szCs w:val="16"/>
              </w:rPr>
              <w:t>Method 1</w:t>
            </w:r>
          </w:p>
        </w:tc>
        <w:tc>
          <w:tcPr>
            <w:tcW w:w="3412" w:type="dxa"/>
            <w:vAlign w:val="center"/>
          </w:tcPr>
          <w:p w14:paraId="2EA5676F" w14:textId="77777777" w:rsidR="00374D49" w:rsidRDefault="00374D49">
            <w:pPr>
              <w:keepNext/>
              <w:rPr>
                <w:rFonts w:cs="Times New Roman"/>
                <w:sz w:val="16"/>
                <w:szCs w:val="16"/>
              </w:rPr>
            </w:pPr>
            <w:r>
              <w:rPr>
                <w:rFonts w:cs="Times New Roman"/>
                <w:sz w:val="16"/>
                <w:szCs w:val="16"/>
              </w:rPr>
              <w:t>Uses the DHIS2 trend and updates with monthly routine data</w:t>
            </w:r>
          </w:p>
        </w:tc>
      </w:tr>
      <w:tr w:rsidR="00374D49" w14:paraId="1ECCDE4F" w14:textId="77777777">
        <w:trPr>
          <w:cnfStyle w:val="000000100000" w:firstRow="0" w:lastRow="0" w:firstColumn="0" w:lastColumn="0" w:oddVBand="0" w:evenVBand="0" w:oddHBand="1" w:evenHBand="0" w:firstRowFirstColumn="0" w:firstRowLastColumn="0" w:lastRowFirstColumn="0" w:lastRowLastColumn="0"/>
          <w:cantSplit/>
        </w:trPr>
        <w:tc>
          <w:tcPr>
            <w:tcW w:w="2592" w:type="dxa"/>
            <w:vAlign w:val="center"/>
          </w:tcPr>
          <w:p w14:paraId="6BA9C176" w14:textId="77777777" w:rsidR="00374D49" w:rsidRDefault="00374D49">
            <w:pPr>
              <w:keepNext/>
              <w:rPr>
                <w:rFonts w:cs="Times New Roman"/>
                <w:sz w:val="16"/>
                <w:szCs w:val="16"/>
              </w:rPr>
            </w:pPr>
            <w:r>
              <w:rPr>
                <w:rFonts w:cs="Times New Roman"/>
                <w:sz w:val="16"/>
                <w:szCs w:val="16"/>
              </w:rPr>
              <w:t>Data-quality review</w:t>
            </w:r>
          </w:p>
        </w:tc>
        <w:tc>
          <w:tcPr>
            <w:tcW w:w="3024" w:type="dxa"/>
            <w:vAlign w:val="center"/>
          </w:tcPr>
          <w:p w14:paraId="6A6FBD62" w14:textId="77777777" w:rsidR="00374D49" w:rsidRDefault="00374D49">
            <w:pPr>
              <w:keepNext/>
              <w:rPr>
                <w:rFonts w:cs="Times New Roman"/>
                <w:sz w:val="16"/>
                <w:szCs w:val="16"/>
              </w:rPr>
            </w:pPr>
            <w:r>
              <w:rPr>
                <w:rFonts w:cs="Times New Roman"/>
                <w:sz w:val="16"/>
                <w:szCs w:val="16"/>
              </w:rPr>
              <w:t>LGAs where the methods differ most</w:t>
            </w:r>
          </w:p>
        </w:tc>
        <w:tc>
          <w:tcPr>
            <w:tcW w:w="3412" w:type="dxa"/>
            <w:vAlign w:val="center"/>
          </w:tcPr>
          <w:p w14:paraId="5BC139A2" w14:textId="77777777" w:rsidR="00374D49" w:rsidRDefault="00374D49">
            <w:pPr>
              <w:keepNext/>
              <w:rPr>
                <w:rFonts w:cs="Times New Roman"/>
                <w:sz w:val="16"/>
                <w:szCs w:val="16"/>
              </w:rPr>
            </w:pPr>
            <w:r>
              <w:rPr>
                <w:rFonts w:cs="Times New Roman"/>
                <w:sz w:val="16"/>
                <w:szCs w:val="16"/>
              </w:rPr>
              <w:t>Large gaps flag reported doses out of line with population</w:t>
            </w:r>
          </w:p>
        </w:tc>
      </w:tr>
    </w:tbl>
    <w:p w14:paraId="6971F59C" w14:textId="77777777" w:rsidR="00FC4CE8" w:rsidRPr="00374D49" w:rsidRDefault="00FC4CE8" w:rsidP="00FD4A5B">
      <w:pPr>
        <w:pStyle w:val="Heading2"/>
        <w:spacing w:line="276" w:lineRule="auto"/>
      </w:pPr>
      <w:bookmarkStart w:id="89" w:name="_Toc233107588"/>
      <w:bookmarkStart w:id="90" w:name="_Toc242407929"/>
      <w:r>
        <w:t>5.6 Domain 6 — Polio Risk and the Interruption Pathway</w:t>
      </w:r>
      <w:bookmarkEnd w:id="89"/>
      <w:bookmarkEnd w:id="90"/>
    </w:p>
    <w:p w14:paraId="53E84ACC" w14:textId="5F3A4942"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A Bernoulli case-control spatial scan (71 confirmed polio cases against 78,862 non-polio AFP controls) detects one statistically significant residual cluster in the far north-east near the international border (relative risk about 10.5). Wild poliovirus has been absent since 2017; the remaining signal is vaccine-derived. Because the scan uses non-polio AFP from the same surveillance system as controls, it adjusts for surveillance intensity, so the cluster is a true excess rather than an artefact. Everywhere else, confirmed cases are statistically indistinguishable from background; there is no active reservoir elsewhere.</w:t>
      </w:r>
    </w:p>
    <w:p w14:paraId="118A47E2" w14:textId="78464E8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Modelling the interruption pathway with a negative-binomial GLM (Prophet cross-check), the projected annual case count declines and the upper 95% bound falls below one case per year before 2030, a credible, if conditional, interruption pathway. A recurrence-free survival analysis gives a 21.3% probability of remaining case-free for a full 36 months nationally; eighteen states are already past the WHO 36-month certification threshold, while six (Taraba, Kogi, Adamawa, Borno, Gombe, Kano) remain inside the window and gate national certification, with Borno and Kano the live reservoir. Surveillance timeliness comfortably meets WHO standards for stool collection and laboratory turnaround, so a no-new-case signal reflects genuine absence rather than missed detection; investigation timeliness (73.5% within 7 days) is one step below the target.</w:t>
      </w:r>
    </w:p>
    <w:p w14:paraId="00F45F6E"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67264BA8" wp14:editId="2667254F">
            <wp:extent cx="5682343" cy="3524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86326" cy="3526720"/>
                    </a:xfrm>
                    <a:prstGeom prst="rect">
                      <a:avLst/>
                    </a:prstGeom>
                  </pic:spPr>
                </pic:pic>
              </a:graphicData>
            </a:graphic>
          </wp:inline>
        </w:drawing>
      </w:r>
    </w:p>
    <w:p w14:paraId="39FDA686" w14:textId="77777777" w:rsidR="00FC4CE8" w:rsidRPr="00374D49" w:rsidRDefault="00FC4CE8" w:rsidP="00FD4A5B">
      <w:pPr>
        <w:pStyle w:val="MyFigures"/>
        <w:spacing w:line="276" w:lineRule="auto"/>
      </w:pPr>
      <w:bookmarkStart w:id="91" w:name="_Toc242408012"/>
      <w:r>
        <w:t>Figure 17. AFP case clustering, 2015–2025 (Bernoulli case-control spatial scan); one significant cluster on the north-eastern border.</w:t>
      </w:r>
      <w:bookmarkEnd w:id="91"/>
    </w:p>
    <w:p w14:paraId="52EA38EC"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577169BB" wp14:editId="34F20992">
            <wp:extent cx="53340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2286000"/>
                    </a:xfrm>
                    <a:prstGeom prst="rect">
                      <a:avLst/>
                    </a:prstGeom>
                  </pic:spPr>
                </pic:pic>
              </a:graphicData>
            </a:graphic>
          </wp:inline>
        </w:drawing>
      </w:r>
    </w:p>
    <w:p w14:paraId="7E969DA8" w14:textId="77777777" w:rsidR="00FC4CE8" w:rsidRPr="00374D49" w:rsidRDefault="00FC4CE8" w:rsidP="00FD4A5B">
      <w:pPr>
        <w:pStyle w:val="MyFigures"/>
        <w:spacing w:line="276" w:lineRule="auto"/>
      </w:pPr>
      <w:bookmarkStart w:id="92" w:name="_Toc242408013"/>
      <w:r>
        <w:t>Figure 18. Historical confirmed-polio cases and forecast to 2030; interruption threshold below one case per year.</w:t>
      </w:r>
      <w:bookmarkEnd w:id="92"/>
    </w:p>
    <w:p w14:paraId="732B33C2"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lastRenderedPageBreak/>
        <w:drawing>
          <wp:inline distT="0" distB="0" distL="0" distR="0" wp14:anchorId="4465E953" wp14:editId="14B4F357">
            <wp:extent cx="5334000" cy="2162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2162175"/>
                    </a:xfrm>
                    <a:prstGeom prst="rect">
                      <a:avLst/>
                    </a:prstGeom>
                  </pic:spPr>
                </pic:pic>
              </a:graphicData>
            </a:graphic>
          </wp:inline>
        </w:drawing>
      </w:r>
    </w:p>
    <w:p w14:paraId="5B6D91E3" w14:textId="77777777" w:rsidR="00FC4CE8" w:rsidRPr="00374D49" w:rsidRDefault="00FC4CE8" w:rsidP="00FD4A5B">
      <w:pPr>
        <w:pStyle w:val="MyFigures"/>
        <w:spacing w:line="276" w:lineRule="auto"/>
      </w:pPr>
      <w:bookmarkStart w:id="93" w:name="_Toc242408014"/>
      <w:r>
        <w:t>Figure 19. Recurrence-free survival of confirmed polio cases against the WHO 36-month certification threshold.</w:t>
      </w:r>
      <w:bookmarkEnd w:id="93"/>
    </w:p>
    <w:p w14:paraId="15828769"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7CE81071" wp14:editId="6DCBB5F6">
            <wp:extent cx="5334000" cy="1866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1866900"/>
                    </a:xfrm>
                    <a:prstGeom prst="rect">
                      <a:avLst/>
                    </a:prstGeom>
                  </pic:spPr>
                </pic:pic>
              </a:graphicData>
            </a:graphic>
          </wp:inline>
        </w:drawing>
      </w:r>
    </w:p>
    <w:p w14:paraId="4B9187BB" w14:textId="77777777" w:rsidR="00FC4CE8" w:rsidRPr="00374D49" w:rsidRDefault="00FC4CE8" w:rsidP="00FD4A5B">
      <w:pPr>
        <w:pStyle w:val="MyFigures"/>
        <w:spacing w:line="276" w:lineRule="auto"/>
      </w:pPr>
      <w:bookmarkStart w:id="94" w:name="_Toc242408015"/>
      <w:r>
        <w:t>Figure 20. Surveillance-timeliness completion curves against WHO performance targets.</w:t>
      </w:r>
      <w:bookmarkEnd w:id="94"/>
    </w:p>
    <w:p w14:paraId="291100CE" w14:textId="77777777" w:rsidR="00FC4CE8" w:rsidRPr="00374D49" w:rsidRDefault="00FC4CE8" w:rsidP="00FD4A5B">
      <w:pPr>
        <w:pStyle w:val="Heading2"/>
        <w:spacing w:line="276" w:lineRule="auto"/>
      </w:pPr>
      <w:bookmarkStart w:id="95" w:name="_Toc233107589"/>
      <w:bookmarkStart w:id="96" w:name="_Toc242407930"/>
      <w:r>
        <w:t>5.7 Domain 7 — Outbreak Risk and the Coverage-to-Mortality Link</w:t>
      </w:r>
      <w:bookmarkEnd w:id="95"/>
      <w:bookmarkEnd w:id="96"/>
    </w:p>
    <w:p w14:paraId="0C589995" w14:textId="3ADD2874"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Domain 7 tests the study's central hypothesis. Eight pre-specified directional tests with higher antigen coverage leading to a lower disease-specific share of under-five mortality were run against IHME GBD 2023 cause fractions and FDR-corrected. Seven of the eight are confirmed; the strongest are Measles1 to measles deaths (r = -0.86) and Measles1 to yellow-fever (r = -0.84). Because measles coverage tracks measles and yellow-fever mortality most tightly, raising the measles first dose and conducting timely follow-up campaigns in the Tier-1 North-West is the single highest-yield action for averting vaccine-preventable child deaths in the near term, and it supplies the cost-per-death-averted rationale GAVI investment requires.</w:t>
      </w:r>
    </w:p>
    <w:p w14:paraId="3E08AC31" w14:textId="6F9FCFB0" w:rsidR="00FC4CE8" w:rsidRPr="00374D49" w:rsidRDefault="00FC4CE8" w:rsidP="00FD4A5B">
      <w:pPr>
        <w:spacing w:after="140" w:line="276" w:lineRule="auto"/>
        <w:jc w:val="both"/>
        <w:rPr>
          <w:rFonts w:cs="Times New Roman"/>
          <w:color w:val="000000" w:themeColor="text1"/>
          <w:szCs w:val="24"/>
        </w:rPr>
      </w:pPr>
      <w:r>
        <w:rPr>
          <w:rFonts w:cs="Times New Roman"/>
          <w:color w:val="000000" w:themeColor="text1"/>
          <w:szCs w:val="24"/>
        </w:rPr>
        <w:t>The composite outbreak-risk surface ranks Zamfara, Sokoto, and Kebbi highest. A triangulation against the independent zero-dose forecast is decisive: the vaccine-targeted share of mortality and the zero-dose forecast correlate at r = 0.87, and six states fall in the convergent high-risk quadrant: Zamfara, Sokoto, Kebbi, Katsina, Niger, and Kaduna. Two independently built data products point to the same places.</w:t>
      </w:r>
    </w:p>
    <w:p w14:paraId="6C4D1BDD" w14:textId="3C6351BC" w:rsidR="00EE231D" w:rsidRPr="00374D49" w:rsidRDefault="00EE231D" w:rsidP="00FD4A5B">
      <w:pPr>
        <w:pStyle w:val="MyTables"/>
        <w:keepNext/>
        <w:spacing w:line="276" w:lineRule="auto"/>
      </w:pPr>
      <w:bookmarkStart w:id="97" w:name="_Toc242407976"/>
      <w:r>
        <w:lastRenderedPageBreak/>
        <w:t>Table 7. The six highest outbreak-risk states on the composite VPD risk surface.</w:t>
      </w:r>
      <w:bookmarkEnd w:id="97"/>
    </w:p>
    <w:tbl>
      <w:tblPr>
        <w:tblStyle w:val="PlainTable5"/>
        <w:tblW w:w="9360" w:type="dxa"/>
        <w:tblLook w:val="04A0" w:firstRow="1" w:lastRow="0" w:firstColumn="1" w:lastColumn="0" w:noHBand="0" w:noVBand="1"/>
      </w:tblPr>
      <w:tblGrid>
        <w:gridCol w:w="900"/>
        <w:gridCol w:w="2000"/>
        <w:gridCol w:w="1800"/>
        <w:gridCol w:w="2360"/>
        <w:gridCol w:w="2300"/>
      </w:tblGrid>
      <w:tr w:rsidR="00203D70" w:rsidRPr="00374D49" w14:paraId="1E97B3B7" w14:textId="77777777" w:rsidTr="00C05F7A">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900" w:type="dxa"/>
          </w:tcPr>
          <w:p w14:paraId="6DC29D14" w14:textId="77777777" w:rsidR="00FC4CE8" w:rsidRPr="00374D49" w:rsidRDefault="00FC4CE8" w:rsidP="00FD4A5B">
            <w:pPr>
              <w:keepNext/>
              <w:spacing w:line="276" w:lineRule="auto"/>
              <w:jc w:val="both"/>
              <w:rPr>
                <w:rFonts w:cs="Times New Roman"/>
                <w:color w:val="000000" w:themeColor="text1"/>
                <w:szCs w:val="24"/>
              </w:rPr>
            </w:pPr>
            <w:r>
              <w:rPr>
                <w:rFonts w:cs="Times New Roman"/>
                <w:b/>
                <w:bCs/>
                <w:color w:val="000000" w:themeColor="text1"/>
                <w:szCs w:val="24"/>
              </w:rPr>
              <w:t>Rank</w:t>
            </w:r>
          </w:p>
        </w:tc>
        <w:tc>
          <w:tcPr>
            <w:tcW w:w="2000" w:type="dxa"/>
          </w:tcPr>
          <w:p w14:paraId="5E10FAD4"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State</w:t>
            </w:r>
          </w:p>
        </w:tc>
        <w:tc>
          <w:tcPr>
            <w:tcW w:w="1800" w:type="dxa"/>
          </w:tcPr>
          <w:p w14:paraId="4C738CE1"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risk</w:t>
            </w:r>
          </w:p>
        </w:tc>
        <w:tc>
          <w:tcPr>
            <w:tcW w:w="2360" w:type="dxa"/>
          </w:tcPr>
          <w:p w14:paraId="07F062DE"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Gi* class 2026</w:t>
            </w:r>
          </w:p>
        </w:tc>
        <w:tc>
          <w:tcPr>
            <w:tcW w:w="2300" w:type="dxa"/>
          </w:tcPr>
          <w:p w14:paraId="2C0D8AEF" w14:textId="77777777" w:rsidR="00FC4CE8" w:rsidRPr="00374D49" w:rsidRDefault="00FC4CE8" w:rsidP="00FD4A5B">
            <w:pPr>
              <w:keepNext/>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Priority tier</w:t>
            </w:r>
          </w:p>
        </w:tc>
      </w:tr>
      <w:tr w:rsidR="00203D70" w:rsidRPr="00374D49" w14:paraId="336C1895"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CD6327F"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1</w:t>
            </w:r>
          </w:p>
        </w:tc>
        <w:tc>
          <w:tcPr>
            <w:tcW w:w="2000" w:type="dxa"/>
          </w:tcPr>
          <w:p w14:paraId="005C02C4"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Zamfara</w:t>
            </w:r>
          </w:p>
        </w:tc>
        <w:tc>
          <w:tcPr>
            <w:tcW w:w="1800" w:type="dxa"/>
          </w:tcPr>
          <w:p w14:paraId="64E2B766"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99.2</w:t>
            </w:r>
          </w:p>
        </w:tc>
        <w:tc>
          <w:tcPr>
            <w:tcW w:w="2360" w:type="dxa"/>
          </w:tcPr>
          <w:p w14:paraId="68A2A59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2B84CE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2A486FDC"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54F7E8F7"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2</w:t>
            </w:r>
          </w:p>
        </w:tc>
        <w:tc>
          <w:tcPr>
            <w:tcW w:w="2000" w:type="dxa"/>
          </w:tcPr>
          <w:p w14:paraId="45B1279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Sokoto</w:t>
            </w:r>
          </w:p>
        </w:tc>
        <w:tc>
          <w:tcPr>
            <w:tcW w:w="1800" w:type="dxa"/>
          </w:tcPr>
          <w:p w14:paraId="3848C038"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96.1</w:t>
            </w:r>
          </w:p>
        </w:tc>
        <w:tc>
          <w:tcPr>
            <w:tcW w:w="2360" w:type="dxa"/>
          </w:tcPr>
          <w:p w14:paraId="5A03018E"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05F7CED"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80FACE2"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37F803A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3</w:t>
            </w:r>
          </w:p>
        </w:tc>
        <w:tc>
          <w:tcPr>
            <w:tcW w:w="2000" w:type="dxa"/>
          </w:tcPr>
          <w:p w14:paraId="40B097AD"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Kebbi</w:t>
            </w:r>
          </w:p>
        </w:tc>
        <w:tc>
          <w:tcPr>
            <w:tcW w:w="1800" w:type="dxa"/>
          </w:tcPr>
          <w:p w14:paraId="51B78D4E"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95.0</w:t>
            </w:r>
          </w:p>
        </w:tc>
        <w:tc>
          <w:tcPr>
            <w:tcW w:w="2360" w:type="dxa"/>
          </w:tcPr>
          <w:p w14:paraId="09B4D1CA"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78E0EDC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1: Critical</w:t>
            </w:r>
          </w:p>
        </w:tc>
      </w:tr>
      <w:tr w:rsidR="00203D70" w:rsidRPr="00374D49" w14:paraId="69CF864D"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3C684B05"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4</w:t>
            </w:r>
          </w:p>
        </w:tc>
        <w:tc>
          <w:tcPr>
            <w:tcW w:w="2000" w:type="dxa"/>
          </w:tcPr>
          <w:p w14:paraId="0812CE65"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Katsina</w:t>
            </w:r>
          </w:p>
        </w:tc>
        <w:tc>
          <w:tcPr>
            <w:tcW w:w="1800" w:type="dxa"/>
          </w:tcPr>
          <w:p w14:paraId="5484A86B"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61.4</w:t>
            </w:r>
          </w:p>
        </w:tc>
        <w:tc>
          <w:tcPr>
            <w:tcW w:w="2360" w:type="dxa"/>
          </w:tcPr>
          <w:p w14:paraId="003E05C3"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666FCB1A" w14:textId="77777777" w:rsidR="00FC4CE8" w:rsidRPr="00374D49" w:rsidRDefault="00FC4CE8" w:rsidP="00FD4A5B">
            <w:pPr>
              <w:keepNext/>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1DFD2BF1" w14:textId="77777777" w:rsidTr="00C05F7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 w:type="dxa"/>
          </w:tcPr>
          <w:p w14:paraId="596028BD" w14:textId="77777777" w:rsidR="00FC4CE8" w:rsidRPr="00374D49" w:rsidRDefault="00FC4CE8" w:rsidP="00FD4A5B">
            <w:pPr>
              <w:keepNext/>
              <w:spacing w:line="276" w:lineRule="auto"/>
              <w:jc w:val="both"/>
              <w:rPr>
                <w:rFonts w:cs="Times New Roman"/>
                <w:color w:val="000000" w:themeColor="text1"/>
                <w:szCs w:val="24"/>
              </w:rPr>
            </w:pPr>
            <w:r>
              <w:rPr>
                <w:rFonts w:cs="Times New Roman"/>
                <w:color w:val="000000" w:themeColor="text1"/>
                <w:szCs w:val="24"/>
              </w:rPr>
              <w:t>5</w:t>
            </w:r>
          </w:p>
        </w:tc>
        <w:tc>
          <w:tcPr>
            <w:tcW w:w="2000" w:type="dxa"/>
          </w:tcPr>
          <w:p w14:paraId="5907C2A9"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Niger</w:t>
            </w:r>
          </w:p>
        </w:tc>
        <w:tc>
          <w:tcPr>
            <w:tcW w:w="1800" w:type="dxa"/>
          </w:tcPr>
          <w:p w14:paraId="19C3ABBB"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57.8</w:t>
            </w:r>
          </w:p>
        </w:tc>
        <w:tc>
          <w:tcPr>
            <w:tcW w:w="2360" w:type="dxa"/>
          </w:tcPr>
          <w:p w14:paraId="029FF2B7"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(p&lt;0.01)</w:t>
            </w:r>
          </w:p>
        </w:tc>
        <w:tc>
          <w:tcPr>
            <w:tcW w:w="2300" w:type="dxa"/>
          </w:tcPr>
          <w:p w14:paraId="4D2EF86C" w14:textId="77777777" w:rsidR="00FC4CE8" w:rsidRPr="00374D49" w:rsidRDefault="00FC4CE8" w:rsidP="00FD4A5B">
            <w:pPr>
              <w:keepNext/>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r w:rsidR="00203D70" w:rsidRPr="00374D49" w14:paraId="20AFA5A6" w14:textId="77777777" w:rsidTr="00C05F7A">
        <w:trPr>
          <w:cantSplit/>
        </w:trPr>
        <w:tc>
          <w:tcPr>
            <w:cnfStyle w:val="001000000000" w:firstRow="0" w:lastRow="0" w:firstColumn="1" w:lastColumn="0" w:oddVBand="0" w:evenVBand="0" w:oddHBand="0" w:evenHBand="0" w:firstRowFirstColumn="0" w:firstRowLastColumn="0" w:lastRowFirstColumn="0" w:lastRowLastColumn="0"/>
            <w:tcW w:w="900" w:type="dxa"/>
          </w:tcPr>
          <w:p w14:paraId="148B8BD4" w14:textId="77777777" w:rsidR="00FC4CE8" w:rsidRPr="00374D49" w:rsidRDefault="00FC4CE8" w:rsidP="00FD4A5B">
            <w:pPr>
              <w:spacing w:line="276" w:lineRule="auto"/>
              <w:jc w:val="both"/>
              <w:rPr>
                <w:rFonts w:cs="Times New Roman"/>
                <w:color w:val="000000" w:themeColor="text1"/>
                <w:szCs w:val="24"/>
              </w:rPr>
            </w:pPr>
            <w:r>
              <w:rPr>
                <w:rFonts w:cs="Times New Roman"/>
                <w:color w:val="000000" w:themeColor="text1"/>
                <w:szCs w:val="24"/>
              </w:rPr>
              <w:t>6</w:t>
            </w:r>
          </w:p>
        </w:tc>
        <w:tc>
          <w:tcPr>
            <w:tcW w:w="2000" w:type="dxa"/>
          </w:tcPr>
          <w:p w14:paraId="487FFE3C"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Kaduna</w:t>
            </w:r>
          </w:p>
        </w:tc>
        <w:tc>
          <w:tcPr>
            <w:tcW w:w="1800" w:type="dxa"/>
          </w:tcPr>
          <w:p w14:paraId="714922CE"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55.7</w:t>
            </w:r>
          </w:p>
        </w:tc>
        <w:tc>
          <w:tcPr>
            <w:tcW w:w="2360" w:type="dxa"/>
          </w:tcPr>
          <w:p w14:paraId="1DC91EF7"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Hot spot (p&lt;0.05)</w:t>
            </w:r>
          </w:p>
        </w:tc>
        <w:tc>
          <w:tcPr>
            <w:tcW w:w="2300" w:type="dxa"/>
          </w:tcPr>
          <w:p w14:paraId="47B5B363" w14:textId="77777777" w:rsidR="00FC4CE8" w:rsidRPr="00374D49" w:rsidRDefault="00FC4CE8"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Tier 2: High</w:t>
            </w:r>
          </w:p>
        </w:tc>
      </w:tr>
    </w:tbl>
    <w:p w14:paraId="7E7671A7"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3B108266" wp14:editId="0367496B">
            <wp:extent cx="5715000" cy="29813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2981325"/>
                    </a:xfrm>
                    <a:prstGeom prst="rect">
                      <a:avLst/>
                    </a:prstGeom>
                  </pic:spPr>
                </pic:pic>
              </a:graphicData>
            </a:graphic>
          </wp:inline>
        </w:drawing>
      </w:r>
    </w:p>
    <w:p w14:paraId="20F2FF31" w14:textId="77777777" w:rsidR="00FC4CE8" w:rsidRPr="00374D49" w:rsidRDefault="00FC4CE8" w:rsidP="00FD4A5B">
      <w:pPr>
        <w:pStyle w:val="MyFigures"/>
        <w:spacing w:line="276" w:lineRule="auto"/>
      </w:pPr>
      <w:bookmarkStart w:id="98" w:name="_Toc242408016"/>
      <w:r>
        <w:t>Figures 21–22. Coverage-to-mortality hypothesis grid and the composite VPD outbreak-risk surface.</w:t>
      </w:r>
      <w:bookmarkEnd w:id="98"/>
    </w:p>
    <w:p w14:paraId="2534C774" w14:textId="77777777" w:rsidR="00FC4CE8" w:rsidRPr="00374D49" w:rsidRDefault="00FC4CE8" w:rsidP="00FD4A5B">
      <w:pPr>
        <w:keepNext/>
        <w:spacing w:before="80" w:after="40" w:line="276" w:lineRule="auto"/>
        <w:jc w:val="both"/>
        <w:rPr>
          <w:rFonts w:cs="Times New Roman"/>
          <w:color w:val="000000" w:themeColor="text1"/>
          <w:szCs w:val="24"/>
        </w:rPr>
      </w:pPr>
      <w:r>
        <w:rPr>
          <w:rFonts w:cs="Times New Roman"/>
          <w:noProof/>
          <w:color w:val="000000" w:themeColor="text1"/>
          <w:szCs w:val="24"/>
        </w:rPr>
        <w:drawing>
          <wp:inline distT="0" distB="0" distL="0" distR="0" wp14:anchorId="2C78307D" wp14:editId="19E9021B">
            <wp:extent cx="5715000" cy="2238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2238375"/>
                    </a:xfrm>
                    <a:prstGeom prst="rect">
                      <a:avLst/>
                    </a:prstGeom>
                  </pic:spPr>
                </pic:pic>
              </a:graphicData>
            </a:graphic>
          </wp:inline>
        </w:drawing>
      </w:r>
    </w:p>
    <w:p w14:paraId="74D48002" w14:textId="77777777" w:rsidR="00FC4CE8" w:rsidRPr="00374D49" w:rsidRDefault="00FC4CE8" w:rsidP="00FD4A5B">
      <w:pPr>
        <w:pStyle w:val="MyFigures"/>
        <w:spacing w:line="276" w:lineRule="auto"/>
      </w:pPr>
      <w:bookmarkStart w:id="99" w:name="_Toc242408017"/>
      <w:r>
        <w:t>Figure 23. Triangulation: the vaccine-targeted mortality share tracks the zero-dose forecast (r = 0.87); the North-West forms the convergent-risk cluster.</w:t>
      </w:r>
      <w:bookmarkEnd w:id="99"/>
    </w:p>
    <w:p w14:paraId="28D864A4" w14:textId="77777777" w:rsidR="008D6D19" w:rsidRPr="00374D49" w:rsidRDefault="008D6D19" w:rsidP="00FD4A5B">
      <w:pPr>
        <w:spacing w:line="276" w:lineRule="auto"/>
        <w:rPr>
          <w:rFonts w:eastAsiaTheme="majorEastAsia" w:cs="Times New Roman"/>
          <w:b/>
          <w:bCs/>
          <w:iCs/>
          <w:color w:val="000000" w:themeColor="text1"/>
          <w:sz w:val="28"/>
          <w:szCs w:val="18"/>
        </w:rPr>
      </w:pPr>
      <w:bookmarkStart w:id="100" w:name="_Toc233107590"/>
      <w:r>
        <w:rPr>
          <w:rFonts w:cs="Times New Roman"/>
        </w:rPr>
        <w:br w:type="page"/>
      </w:r>
    </w:p>
    <w:p w14:paraId="173FC8E3" w14:textId="3CD0945C" w:rsidR="00FC4CE8" w:rsidRPr="00374D49" w:rsidRDefault="00FC4CE8" w:rsidP="00FD4A5B">
      <w:pPr>
        <w:pStyle w:val="Heading2"/>
        <w:spacing w:line="276" w:lineRule="auto"/>
      </w:pPr>
      <w:bookmarkStart w:id="101" w:name="_Toc242407931"/>
      <w:r>
        <w:lastRenderedPageBreak/>
        <w:t>5.8 The Predictive Modelling Platform</w:t>
      </w:r>
      <w:bookmarkEnd w:id="100"/>
      <w:bookmarkEnd w:id="101"/>
    </w:p>
    <w:p w14:paraId="00001C95" w14:textId="77777777" w:rsidR="00374D49" w:rsidRDefault="00374D49">
      <w:pPr>
        <w:spacing w:after="200" w:line="276" w:lineRule="auto"/>
        <w:jc w:val="both"/>
        <w:rPr>
          <w:rFonts w:cs="Times New Roman"/>
        </w:rPr>
      </w:pPr>
      <w:r>
        <w:rPr>
          <w:rFonts w:cs="Times New Roman"/>
        </w:rPr>
        <w:t>The analysis is delivered not as a static set of results but as a live, no-code web application that the NPHCDA Digital Innovation Hub can operate directly. The platform is deployed on Hugging Face under Docker, with secure login and usage tracking, and uploaded data remains in-session.</w:t>
      </w:r>
    </w:p>
    <w:p w14:paraId="00001C96" w14:textId="77777777" w:rsidR="00374D49" w:rsidRDefault="00374D49">
      <w:pPr>
        <w:pStyle w:val="ListParagraph"/>
        <w:numPr>
          <w:ilvl w:val="0"/>
          <w:numId w:val="3"/>
        </w:numPr>
        <w:spacing w:after="120" w:line="276" w:lineRule="auto"/>
        <w:jc w:val="both"/>
      </w:pPr>
      <w:r>
        <w:rPr>
          <w:b/>
        </w:rPr>
        <w:t xml:space="preserve">Live re-runs on new data. </w:t>
      </w:r>
      <w:r>
        <w:t>Refreshed DHIS2 or survey files are uploaded through the browser; the application validates their structure and recomputes only what has changed. No code is written and no analyst is required.</w:t>
      </w:r>
    </w:p>
    <w:p w14:paraId="00001C97" w14:textId="77777777" w:rsidR="00374D49" w:rsidRDefault="00374D49">
      <w:pPr>
        <w:pStyle w:val="ListParagraph"/>
        <w:numPr>
          <w:ilvl w:val="0"/>
          <w:numId w:val="3"/>
        </w:numPr>
        <w:spacing w:after="120" w:line="276" w:lineRule="auto"/>
        <w:jc w:val="both"/>
      </w:pPr>
      <w:r>
        <w:rPr>
          <w:b/>
        </w:rPr>
        <w:t xml:space="preserve">Reproduces this report. </w:t>
      </w:r>
      <w:r>
        <w:t>The platform regenerates the national total to within 0.01% of the figures reported here, and has been back-tested and wave-validated, so the report and the live tool cannot silently diverge.</w:t>
      </w:r>
    </w:p>
    <w:p w14:paraId="00001C98" w14:textId="77777777" w:rsidR="00374D49" w:rsidRDefault="00374D49">
      <w:pPr>
        <w:pStyle w:val="ListParagraph"/>
        <w:numPr>
          <w:ilvl w:val="0"/>
          <w:numId w:val="3"/>
        </w:numPr>
        <w:spacing w:after="120" w:line="276" w:lineRule="auto"/>
        <w:jc w:val="both"/>
      </w:pPr>
      <w:r>
        <w:rPr>
          <w:b/>
        </w:rPr>
        <w:t xml:space="preserve">The LGA Priority and Archetypes screen. </w:t>
      </w:r>
      <w:r>
        <w:t>Filter by state or LGA to see antigen risks, estimated missed children, rank and recommended response package. Results export to Excel for microplanning.</w:t>
      </w:r>
    </w:p>
    <w:p w14:paraId="00001C99" w14:textId="77777777" w:rsidR="00374D49" w:rsidRDefault="00374D49">
      <w:pPr>
        <w:pStyle w:val="ListParagraph"/>
        <w:numPr>
          <w:ilvl w:val="0"/>
          <w:numId w:val="3"/>
        </w:numPr>
        <w:spacing w:after="120" w:line="276" w:lineRule="auto"/>
        <w:jc w:val="both"/>
      </w:pPr>
      <w:r>
        <w:rPr>
          <w:b/>
        </w:rPr>
        <w:t xml:space="preserve">Two coverage lenses, held apart. </w:t>
      </w:r>
      <w:r>
        <w:t>Estimated coverage of the eligible cohort and the 2024 delivery index are displayed separately and triangulated against NDHS, so the distinction set out in Section 5.1.2 is preserved in the interface itself.</w:t>
      </w:r>
    </w:p>
    <w:p w14:paraId="00001C9A" w14:textId="77777777" w:rsidR="00374D49" w:rsidRDefault="00374D49">
      <w:pPr>
        <w:pStyle w:val="ListParagraph"/>
        <w:numPr>
          <w:ilvl w:val="0"/>
          <w:numId w:val="3"/>
        </w:numPr>
        <w:spacing w:after="120" w:line="276" w:lineRule="auto"/>
        <w:jc w:val="both"/>
      </w:pPr>
      <w:r>
        <w:rPr>
          <w:b/>
        </w:rPr>
        <w:t xml:space="preserve">ZARA, a grounded analyst. </w:t>
      </w:r>
      <w:r>
        <w:t>The Zero-dose Analytics and Risk Assistant answers plain-language questions in English, French, Hausa, Yoruba, Igbo, Pidgin, Swahili and other languages. It reads only the live outputs and uploaded documents, cites the page it drew from, and is instructed never to generate a figure that is not in the results.</w:t>
      </w:r>
    </w:p>
    <w:p w14:paraId="00001C9B" w14:textId="77777777" w:rsidR="00374D49" w:rsidRDefault="00374D49">
      <w:pPr>
        <w:pStyle w:val="ListParagraph"/>
        <w:numPr>
          <w:ilvl w:val="0"/>
          <w:numId w:val="3"/>
        </w:numPr>
        <w:spacing w:after="120" w:line="276" w:lineRule="auto"/>
        <w:jc w:val="both"/>
      </w:pPr>
      <w:r>
        <w:rPr>
          <w:b/>
        </w:rPr>
        <w:t xml:space="preserve">Provenance on every view. </w:t>
      </w:r>
      <w:r>
        <w:t>Each result carries its data date, reporting completeness and an indicator of whether the value is a model estimate, so that figures are interpreted with their limitations attached.</w:t>
      </w:r>
    </w:p>
    <w:p w14:paraId="00001C9C" w14:textId="77777777" w:rsidR="00374D49" w:rsidRDefault="00374D49">
      <w:pPr>
        <w:pStyle w:val="ListParagraph"/>
        <w:numPr>
          <w:ilvl w:val="0"/>
          <w:numId w:val="3"/>
        </w:numPr>
        <w:spacing w:after="120" w:line="276" w:lineRule="auto"/>
        <w:jc w:val="both"/>
      </w:pPr>
      <w:r>
        <w:rPr>
          <w:b/>
        </w:rPr>
        <w:t xml:space="preserve">One-click documents. </w:t>
      </w:r>
      <w:r>
        <w:t>A GAVI-style factsheet and a Word policy brief regenerate from the same live outputs, so report, factsheet, brief and slide deck remain a single source of truth.</w:t>
      </w:r>
    </w:p>
    <w:p w14:paraId="00001C9D" w14:textId="77777777" w:rsidR="00374D49" w:rsidRDefault="00374D49">
      <w:pPr>
        <w:pStyle w:val="ListParagraph"/>
        <w:numPr>
          <w:ilvl w:val="0"/>
          <w:numId w:val="3"/>
        </w:numPr>
        <w:spacing w:after="120" w:line="276" w:lineRule="auto"/>
        <w:jc w:val="both"/>
      </w:pPr>
      <w:r>
        <w:rPr>
          <w:b/>
        </w:rPr>
        <w:t xml:space="preserve">Governance built in. </w:t>
      </w:r>
      <w:r>
        <w:t>Role-based secure login, usage tracking, and a load–validate–run–review–approve–release sign-off cycle designed for DIH operation.</w:t>
      </w:r>
    </w:p>
    <w:p w14:paraId="00001C9F" w14:textId="77777777" w:rsidR="00374D49" w:rsidRDefault="00374D49">
      <w:pPr>
        <w:keepNext/>
        <w:spacing w:after="120" w:line="240" w:lineRule="auto"/>
        <w:jc w:val="center"/>
        <w:rPr>
          <w:rFonts w:cs="Times New Roman"/>
          <w:noProof/>
        </w:rPr>
      </w:pPr>
      <w:r>
        <w:rPr>
          <w:rFonts w:cs="Times New Roman"/>
          <w:noProof/>
        </w:rPr>
        <w:lastRenderedPageBreak/>
        <w:drawing>
          <wp:inline distT="0" distB="0" distL="0" distR="0" wp14:anchorId="54CC23E2" wp14:editId="368965E0">
            <wp:extent cx="4469400" cy="2598010"/>
            <wp:effectExtent l="0" t="0" r="0" b="0"/>
            <wp:docPr id="7326" name="Picture 7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 name="Picture 7326"/>
                    <pic:cNvPicPr/>
                  </pic:nvPicPr>
                  <pic:blipFill>
                    <a:blip r:embed="rId46"/>
                    <a:stretch>
                      <a:fillRect/>
                    </a:stretch>
                  </pic:blipFill>
                  <pic:spPr>
                    <a:xfrm>
                      <a:off x="0" y="0"/>
                      <a:ext cx="4469400" cy="2598010"/>
                    </a:xfrm>
                    <a:prstGeom prst="rect">
                      <a:avLst/>
                    </a:prstGeom>
                  </pic:spPr>
                </pic:pic>
              </a:graphicData>
            </a:graphic>
          </wp:inline>
        </w:drawing>
      </w:r>
    </w:p>
    <w:p w14:paraId="00001CA0" w14:textId="77777777" w:rsidR="00374D49" w:rsidRDefault="00374D49">
      <w:pPr>
        <w:pStyle w:val="MyFigures"/>
        <w:spacing w:line="276" w:lineRule="auto"/>
      </w:pPr>
      <w:bookmarkStart w:id="102" w:name="_Toc242408018"/>
      <w:r>
        <w:t>Figure 24. The predictive modelling platform: secure sign-in to the live Hugging Face deployment operated by the Digital Innovation Hub.</w:t>
      </w:r>
      <w:bookmarkEnd w:id="102"/>
    </w:p>
    <w:p w14:paraId="00001CA1" w14:textId="77777777" w:rsidR="00374D49" w:rsidRDefault="00374D49">
      <w:pPr>
        <w:spacing w:after="200" w:line="276" w:lineRule="auto"/>
        <w:jc w:val="both"/>
        <w:rPr>
          <w:rFonts w:cs="Times New Roman"/>
        </w:rPr>
      </w:pPr>
      <w:r>
        <w:rPr>
          <w:rFonts w:cs="Times New Roman"/>
        </w:rPr>
        <w:t>The platform converts the analysis from a set of consortium notebooks into a decision-support function the agency operates directly, and it is the mechanism through which the recommendations in Section 9.2 are to be sustained.</w:t>
      </w:r>
    </w:p>
    <w:p w14:paraId="00001CA2" w14:textId="77777777" w:rsidR="00374D49" w:rsidRDefault="00374D49">
      <w:pPr>
        <w:pStyle w:val="Heading1"/>
      </w:pPr>
      <w:bookmarkStart w:id="103" w:name="_Toc242407932"/>
      <w:r>
        <w:t>5.9 External Validation Against Independent Data</w:t>
      </w:r>
      <w:bookmarkEnd w:id="103"/>
    </w:p>
    <w:p w14:paraId="00001CA3" w14:textId="77777777" w:rsidR="00374D49" w:rsidRDefault="00374D49">
      <w:pPr>
        <w:spacing w:after="200" w:line="276" w:lineRule="auto"/>
        <w:jc w:val="both"/>
        <w:rPr>
          <w:rFonts w:cs="Times New Roman"/>
        </w:rPr>
      </w:pPr>
      <w:r>
        <w:rPr>
          <w:rFonts w:cs="Times New Roman"/>
        </w:rPr>
        <w:t>The forecasts were tested against two datasets that played no part in building them.</w:t>
      </w:r>
    </w:p>
    <w:p w14:paraId="00001CA4" w14:textId="77777777" w:rsidR="00374D49" w:rsidRDefault="00374D49">
      <w:pPr>
        <w:spacing w:after="200" w:line="276" w:lineRule="auto"/>
        <w:jc w:val="both"/>
        <w:rPr>
          <w:rFonts w:cs="Times New Roman"/>
        </w:rPr>
      </w:pPr>
      <w:r>
        <w:rPr>
          <w:rFonts w:cs="Times New Roman"/>
          <w:b/>
        </w:rPr>
        <w:t xml:space="preserve">State level, against a survey that did not exist. </w:t>
      </w:r>
      <w:r>
        <w:rPr>
          <w:rFonts w:cs="Times New Roman"/>
        </w:rPr>
        <w:t>The Nigeria mini Demographic and Health Survey (NmDHS) 2025-26 was released after this modelling concluded, which makes it a genuine out-of-sample test rather than a retrospective fit. Method 1 and the new survey rank the 37 states in almost the same order (Spearman ρ = 0.89); Method 2 gives ρ = 0.87. On levels, the North-West forecast of 48% sits within one point of the survey's 49%. Ordering and magnitude both hold against data the models never saw.</w:t>
      </w:r>
    </w:p>
    <w:p w14:paraId="00001CA6"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501614DF" wp14:editId="7A2B8853">
            <wp:extent cx="5733288" cy="2342185"/>
            <wp:effectExtent l="0" t="0" r="0" b="0"/>
            <wp:docPr id="7333" name="Picture 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 name="Picture 7333"/>
                    <pic:cNvPicPr/>
                  </pic:nvPicPr>
                  <pic:blipFill>
                    <a:blip r:embed="rId47"/>
                    <a:stretch>
                      <a:fillRect/>
                    </a:stretch>
                  </pic:blipFill>
                  <pic:spPr>
                    <a:xfrm>
                      <a:off x="0" y="0"/>
                      <a:ext cx="5733288" cy="2342185"/>
                    </a:xfrm>
                    <a:prstGeom prst="rect">
                      <a:avLst/>
                    </a:prstGeom>
                  </pic:spPr>
                </pic:pic>
              </a:graphicData>
            </a:graphic>
          </wp:inline>
        </w:drawing>
      </w:r>
    </w:p>
    <w:p w14:paraId="00001CA7" w14:textId="77777777" w:rsidR="00374D49" w:rsidRDefault="00374D49">
      <w:pPr>
        <w:pStyle w:val="MyFigures"/>
        <w:spacing w:line="276" w:lineRule="auto"/>
      </w:pPr>
      <w:bookmarkStart w:id="104" w:name="_Toc242408019"/>
      <w:r>
        <w:t>Figure 25. Prospective validation: the 2026 Method 1 state forecasts against the NmDHS 2025-26 survey, 37 states (ρ = 0.89).</w:t>
      </w:r>
      <w:bookmarkEnd w:id="104"/>
    </w:p>
    <w:p w14:paraId="00001CA8" w14:textId="77777777" w:rsidR="00374D49" w:rsidRDefault="00374D49">
      <w:pPr>
        <w:spacing w:after="200" w:line="276" w:lineRule="auto"/>
        <w:jc w:val="both"/>
        <w:rPr>
          <w:rFonts w:cs="Times New Roman"/>
        </w:rPr>
      </w:pPr>
      <w:r>
        <w:rPr>
          <w:rFonts w:cs="Times New Roman"/>
          <w:b/>
        </w:rPr>
        <w:lastRenderedPageBreak/>
        <w:t xml:space="preserve">LGA level, against an independently constructed surface. </w:t>
      </w:r>
      <w:r>
        <w:rPr>
          <w:rFonts w:cs="Times New Roman"/>
        </w:rPr>
        <w:t>The LGA ranking was compared with the IHME Local Burden of Disease DTP1 admin-2 surface, built by a different team using different methods and inputs. Across 743 matched LGAs the Method 1 rank correlation is ρ = 0.65, and most LGAs fall in the same or an adjacent priority third; only 36 are placed in opposite thirds and are flagged for review. Method 2 agrees more closely (ρ = 0.89), including within states (ρ = 0.54 against 0.08 for Method 1). Absolute levels differ, as expected: the IHME surface ends in 2018 and these estimates are for 2026, and eight years shift the levels even where the geography agrees.</w:t>
      </w:r>
    </w:p>
    <w:p w14:paraId="00001CAA" w14:textId="77777777" w:rsidR="00374D49" w:rsidRDefault="00374D49">
      <w:pPr>
        <w:keepNext/>
        <w:spacing w:after="120" w:line="240" w:lineRule="auto"/>
        <w:jc w:val="center"/>
        <w:rPr>
          <w:rFonts w:cs="Times New Roman"/>
          <w:noProof/>
        </w:rPr>
      </w:pPr>
      <w:r>
        <w:rPr>
          <w:rFonts w:cs="Times New Roman"/>
          <w:noProof/>
        </w:rPr>
        <w:drawing>
          <wp:inline distT="0" distB="0" distL="0" distR="0" wp14:anchorId="7319C5C5" wp14:editId="3EC50CE1">
            <wp:extent cx="5733288" cy="2643804"/>
            <wp:effectExtent l="0" t="0" r="0" b="0"/>
            <wp:docPr id="7337" name="Picture 7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 name="Picture 7337"/>
                    <pic:cNvPicPr/>
                  </pic:nvPicPr>
                  <pic:blipFill>
                    <a:blip r:embed="rId48"/>
                    <a:stretch>
                      <a:fillRect/>
                    </a:stretch>
                  </pic:blipFill>
                  <pic:spPr>
                    <a:xfrm>
                      <a:off x="0" y="0"/>
                      <a:ext cx="5733288" cy="2643804"/>
                    </a:xfrm>
                    <a:prstGeom prst="rect">
                      <a:avLst/>
                    </a:prstGeom>
                  </pic:spPr>
                </pic:pic>
              </a:graphicData>
            </a:graphic>
          </wp:inline>
        </w:drawing>
      </w:r>
    </w:p>
    <w:p w14:paraId="00001CAB" w14:textId="77777777" w:rsidR="00374D49" w:rsidRDefault="00374D49">
      <w:pPr>
        <w:pStyle w:val="MyFigures"/>
        <w:spacing w:line="276" w:lineRule="auto"/>
      </w:pPr>
      <w:bookmarkStart w:id="105" w:name="_Toc242408020"/>
      <w:r>
        <w:t>Figure 26. Convergent validity: the 2026 Method 1 LGA estimates against the IHME Local Burden of Disease DTP1 surface (ρ = 0.65).</w:t>
      </w:r>
      <w:bookmarkEnd w:id="105"/>
    </w:p>
    <w:p w14:paraId="34794A1A" w14:textId="77777777" w:rsidR="003D146D" w:rsidRPr="00374D49" w:rsidRDefault="003D146D" w:rsidP="00FD4A5B">
      <w:pPr>
        <w:pStyle w:val="MyTables"/>
        <w:keepNext/>
        <w:spacing w:line="276" w:lineRule="auto"/>
      </w:pPr>
      <w:bookmarkStart w:id="106" w:name="_Toc242407977"/>
      <w:r>
        <w:t>Table 7b. National comparison and agreement with independent data, both Domain 5 methods.</w:t>
      </w:r>
      <w:bookmarkEnd w:id="106"/>
    </w:p>
    <w:tbl>
      <w:tblPr>
        <w:tblStyle w:val="PlainTable5"/>
        <w:tblW w:w="9028" w:type="dxa"/>
        <w:tblLook w:val="0420" w:firstRow="1" w:lastRow="0" w:firstColumn="0" w:lastColumn="0" w:noHBand="0" w:noVBand="1"/>
      </w:tblPr>
      <w:tblGrid>
        <w:gridCol w:w="3744"/>
        <w:gridCol w:w="2664"/>
        <w:gridCol w:w="2620"/>
      </w:tblGrid>
      <w:tr w:rsidR="00374D49" w14:paraId="0329D41D" w14:textId="77777777">
        <w:trPr>
          <w:cnfStyle w:val="100000000000" w:firstRow="1" w:lastRow="0" w:firstColumn="0" w:lastColumn="0" w:oddVBand="0" w:evenVBand="0" w:oddHBand="0" w:evenHBand="0" w:firstRowFirstColumn="0" w:firstRowLastColumn="0" w:lastRowFirstColumn="0" w:lastRowLastColumn="0"/>
          <w:cantSplit/>
          <w:tblHeader/>
        </w:trPr>
        <w:tc>
          <w:tcPr>
            <w:tcW w:w="3744" w:type="dxa"/>
            <w:vAlign w:val="center"/>
          </w:tcPr>
          <w:p w14:paraId="2C1C9346" w14:textId="77777777" w:rsidR="00374D49" w:rsidRDefault="00374D49">
            <w:pPr>
              <w:keepNext/>
              <w:rPr>
                <w:rFonts w:cs="Times New Roman"/>
                <w:b/>
                <w:sz w:val="16"/>
                <w:szCs w:val="16"/>
              </w:rPr>
            </w:pPr>
            <w:r>
              <w:rPr>
                <w:rFonts w:cs="Times New Roman"/>
                <w:b/>
                <w:sz w:val="16"/>
                <w:szCs w:val="16"/>
              </w:rPr>
              <w:t>Measure</w:t>
            </w:r>
          </w:p>
        </w:tc>
        <w:tc>
          <w:tcPr>
            <w:tcW w:w="2664" w:type="dxa"/>
            <w:vAlign w:val="center"/>
          </w:tcPr>
          <w:p w14:paraId="5F4AB760" w14:textId="77777777" w:rsidR="00374D49" w:rsidRDefault="00374D49">
            <w:pPr>
              <w:keepNext/>
              <w:rPr>
                <w:rFonts w:cs="Times New Roman"/>
                <w:b/>
                <w:sz w:val="16"/>
                <w:szCs w:val="16"/>
              </w:rPr>
            </w:pPr>
            <w:r>
              <w:rPr>
                <w:rFonts w:cs="Times New Roman"/>
                <w:b/>
                <w:sz w:val="16"/>
                <w:szCs w:val="16"/>
              </w:rPr>
              <w:t>Method 1</w:t>
            </w:r>
          </w:p>
        </w:tc>
        <w:tc>
          <w:tcPr>
            <w:tcW w:w="2620" w:type="dxa"/>
            <w:vAlign w:val="center"/>
          </w:tcPr>
          <w:p w14:paraId="5069BAA3" w14:textId="77777777" w:rsidR="00374D49" w:rsidRDefault="00374D49">
            <w:pPr>
              <w:keepNext/>
              <w:rPr>
                <w:rFonts w:cs="Times New Roman"/>
                <w:b/>
                <w:sz w:val="16"/>
                <w:szCs w:val="16"/>
              </w:rPr>
            </w:pPr>
            <w:r>
              <w:rPr>
                <w:rFonts w:cs="Times New Roman"/>
                <w:b/>
                <w:sz w:val="16"/>
                <w:szCs w:val="16"/>
              </w:rPr>
              <w:t>Method 2 (SAE)</w:t>
            </w:r>
          </w:p>
        </w:tc>
      </w:tr>
      <w:tr w:rsidR="00374D49" w14:paraId="528E1712"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6BB084A" w14:textId="77777777" w:rsidR="00374D49" w:rsidRDefault="00374D49">
            <w:pPr>
              <w:keepNext/>
              <w:rPr>
                <w:rFonts w:cs="Times New Roman"/>
                <w:sz w:val="16"/>
                <w:szCs w:val="16"/>
              </w:rPr>
            </w:pPr>
            <w:r>
              <w:rPr>
                <w:rFonts w:cs="Times New Roman"/>
                <w:sz w:val="16"/>
                <w:szCs w:val="16"/>
              </w:rPr>
              <w:t>LGAs estimated</w:t>
            </w:r>
          </w:p>
        </w:tc>
        <w:tc>
          <w:tcPr>
            <w:tcW w:w="2664" w:type="dxa"/>
            <w:vAlign w:val="center"/>
          </w:tcPr>
          <w:p w14:paraId="003A0217" w14:textId="77777777" w:rsidR="00374D49" w:rsidRDefault="00374D49">
            <w:pPr>
              <w:keepNext/>
              <w:rPr>
                <w:rFonts w:cs="Times New Roman"/>
                <w:sz w:val="16"/>
                <w:szCs w:val="16"/>
              </w:rPr>
            </w:pPr>
            <w:r>
              <w:rPr>
                <w:rFonts w:cs="Times New Roman"/>
                <w:sz w:val="16"/>
                <w:szCs w:val="16"/>
              </w:rPr>
              <w:t>773</w:t>
            </w:r>
          </w:p>
        </w:tc>
        <w:tc>
          <w:tcPr>
            <w:tcW w:w="2620" w:type="dxa"/>
            <w:vAlign w:val="center"/>
          </w:tcPr>
          <w:p w14:paraId="4C6ED27E" w14:textId="77777777" w:rsidR="00374D49" w:rsidRDefault="00374D49">
            <w:pPr>
              <w:keepNext/>
              <w:rPr>
                <w:rFonts w:cs="Times New Roman"/>
                <w:sz w:val="16"/>
                <w:szCs w:val="16"/>
              </w:rPr>
            </w:pPr>
            <w:r>
              <w:rPr>
                <w:rFonts w:cs="Times New Roman"/>
                <w:sz w:val="16"/>
                <w:szCs w:val="16"/>
              </w:rPr>
              <w:t>774</w:t>
            </w:r>
          </w:p>
        </w:tc>
      </w:tr>
      <w:tr w:rsidR="00374D49" w14:paraId="66493AC7" w14:textId="77777777">
        <w:trPr>
          <w:cantSplit/>
        </w:trPr>
        <w:tc>
          <w:tcPr>
            <w:tcW w:w="3744" w:type="dxa"/>
            <w:vAlign w:val="center"/>
          </w:tcPr>
          <w:p w14:paraId="3017F9F6" w14:textId="77777777" w:rsidR="00374D49" w:rsidRDefault="00374D49">
            <w:pPr>
              <w:keepNext/>
              <w:rPr>
                <w:rFonts w:cs="Times New Roman"/>
                <w:sz w:val="16"/>
                <w:szCs w:val="16"/>
              </w:rPr>
            </w:pPr>
            <w:r>
              <w:rPr>
                <w:rFonts w:cs="Times New Roman"/>
                <w:sz w:val="16"/>
                <w:szCs w:val="16"/>
              </w:rPr>
              <w:t>Zero-dose children, 2026 (95% interval)</w:t>
            </w:r>
          </w:p>
        </w:tc>
        <w:tc>
          <w:tcPr>
            <w:tcW w:w="2664" w:type="dxa"/>
            <w:vAlign w:val="center"/>
          </w:tcPr>
          <w:p w14:paraId="22DD25D7" w14:textId="77777777" w:rsidR="00374D49" w:rsidRDefault="00374D49">
            <w:pPr>
              <w:keepNext/>
              <w:rPr>
                <w:rFonts w:cs="Times New Roman"/>
                <w:sz w:val="16"/>
                <w:szCs w:val="16"/>
              </w:rPr>
            </w:pPr>
            <w:r>
              <w:rPr>
                <w:rFonts w:cs="Times New Roman"/>
                <w:sz w:val="16"/>
                <w:szCs w:val="16"/>
              </w:rPr>
              <w:t>2.10 million (1.90-2.31)</w:t>
            </w:r>
          </w:p>
        </w:tc>
        <w:tc>
          <w:tcPr>
            <w:tcW w:w="2620" w:type="dxa"/>
            <w:vAlign w:val="center"/>
          </w:tcPr>
          <w:p w14:paraId="190169EC" w14:textId="77777777" w:rsidR="00374D49" w:rsidRDefault="00374D49">
            <w:pPr>
              <w:keepNext/>
              <w:rPr>
                <w:rFonts w:cs="Times New Roman"/>
                <w:sz w:val="16"/>
                <w:szCs w:val="16"/>
              </w:rPr>
            </w:pPr>
            <w:r>
              <w:rPr>
                <w:rFonts w:cs="Times New Roman"/>
                <w:sz w:val="16"/>
                <w:szCs w:val="16"/>
              </w:rPr>
              <w:t>2.15 million (1.86-2.46)</w:t>
            </w:r>
          </w:p>
        </w:tc>
      </w:tr>
      <w:tr w:rsidR="00374D49" w14:paraId="1CFC9C5F"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2260DF67" w14:textId="77777777" w:rsidR="00374D49" w:rsidRDefault="00374D49">
            <w:pPr>
              <w:keepNext/>
              <w:rPr>
                <w:rFonts w:cs="Times New Roman"/>
                <w:sz w:val="16"/>
                <w:szCs w:val="16"/>
              </w:rPr>
            </w:pPr>
            <w:r>
              <w:rPr>
                <w:rFonts w:cs="Times New Roman"/>
                <w:sz w:val="16"/>
                <w:szCs w:val="16"/>
              </w:rPr>
              <w:t>National zero-dose rate</w:t>
            </w:r>
          </w:p>
        </w:tc>
        <w:tc>
          <w:tcPr>
            <w:tcW w:w="2664" w:type="dxa"/>
            <w:vAlign w:val="center"/>
          </w:tcPr>
          <w:p w14:paraId="79673699" w14:textId="77777777" w:rsidR="00374D49" w:rsidRDefault="00374D49">
            <w:pPr>
              <w:keepNext/>
              <w:rPr>
                <w:rFonts w:cs="Times New Roman"/>
                <w:sz w:val="16"/>
                <w:szCs w:val="16"/>
              </w:rPr>
            </w:pPr>
            <w:r>
              <w:rPr>
                <w:rFonts w:cs="Times New Roman"/>
                <w:sz w:val="16"/>
                <w:szCs w:val="16"/>
              </w:rPr>
              <w:t>29.9%</w:t>
            </w:r>
          </w:p>
        </w:tc>
        <w:tc>
          <w:tcPr>
            <w:tcW w:w="2620" w:type="dxa"/>
            <w:vAlign w:val="center"/>
          </w:tcPr>
          <w:p w14:paraId="07A69707" w14:textId="77777777" w:rsidR="00374D49" w:rsidRDefault="00374D49">
            <w:pPr>
              <w:keepNext/>
              <w:rPr>
                <w:rFonts w:cs="Times New Roman"/>
                <w:sz w:val="16"/>
                <w:szCs w:val="16"/>
              </w:rPr>
            </w:pPr>
            <w:r>
              <w:rPr>
                <w:rFonts w:cs="Times New Roman"/>
                <w:sz w:val="16"/>
                <w:szCs w:val="16"/>
              </w:rPr>
              <w:t>30.6%</w:t>
            </w:r>
          </w:p>
        </w:tc>
      </w:tr>
      <w:tr w:rsidR="00374D49" w14:paraId="3F5D056C" w14:textId="77777777">
        <w:trPr>
          <w:cantSplit/>
        </w:trPr>
        <w:tc>
          <w:tcPr>
            <w:tcW w:w="3744" w:type="dxa"/>
            <w:vAlign w:val="center"/>
          </w:tcPr>
          <w:p w14:paraId="22079E2A" w14:textId="77777777" w:rsidR="00374D49" w:rsidRDefault="00374D49">
            <w:pPr>
              <w:keepNext/>
              <w:rPr>
                <w:rFonts w:cs="Times New Roman"/>
                <w:sz w:val="16"/>
                <w:szCs w:val="16"/>
              </w:rPr>
            </w:pPr>
            <w:r>
              <w:rPr>
                <w:rFonts w:cs="Times New Roman"/>
                <w:sz w:val="16"/>
                <w:szCs w:val="16"/>
              </w:rPr>
              <w:t>NmDHS 2025-26, 37 states: Spearman ρ (95% CI)</w:t>
            </w:r>
          </w:p>
        </w:tc>
        <w:tc>
          <w:tcPr>
            <w:tcW w:w="2664" w:type="dxa"/>
            <w:vAlign w:val="center"/>
          </w:tcPr>
          <w:p w14:paraId="194B66D6" w14:textId="77777777" w:rsidR="00374D49" w:rsidRDefault="00374D49">
            <w:pPr>
              <w:keepNext/>
              <w:rPr>
                <w:rFonts w:cs="Times New Roman"/>
                <w:sz w:val="16"/>
                <w:szCs w:val="16"/>
              </w:rPr>
            </w:pPr>
            <w:r>
              <w:rPr>
                <w:rFonts w:cs="Times New Roman"/>
                <w:sz w:val="16"/>
                <w:szCs w:val="16"/>
              </w:rPr>
              <w:t>0.89 (0.74 to 0.96)</w:t>
            </w:r>
          </w:p>
        </w:tc>
        <w:tc>
          <w:tcPr>
            <w:tcW w:w="2620" w:type="dxa"/>
            <w:vAlign w:val="center"/>
          </w:tcPr>
          <w:p w14:paraId="7CB4CE58" w14:textId="77777777" w:rsidR="00374D49" w:rsidRDefault="00374D49">
            <w:pPr>
              <w:keepNext/>
              <w:rPr>
                <w:rFonts w:cs="Times New Roman"/>
                <w:sz w:val="16"/>
                <w:szCs w:val="16"/>
              </w:rPr>
            </w:pPr>
            <w:r>
              <w:rPr>
                <w:rFonts w:cs="Times New Roman"/>
                <w:sz w:val="16"/>
                <w:szCs w:val="16"/>
              </w:rPr>
              <w:t>0.87 (0.71 to 0.95)</w:t>
            </w:r>
          </w:p>
        </w:tc>
      </w:tr>
      <w:tr w:rsidR="00374D49" w14:paraId="0545F336"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6EA5D906" w14:textId="77777777" w:rsidR="00374D49" w:rsidRDefault="00374D49">
            <w:pPr>
              <w:keepNext/>
              <w:rPr>
                <w:rFonts w:cs="Times New Roman"/>
                <w:sz w:val="16"/>
                <w:szCs w:val="16"/>
              </w:rPr>
            </w:pPr>
            <w:r>
              <w:rPr>
                <w:rFonts w:cs="Times New Roman"/>
                <w:sz w:val="16"/>
                <w:szCs w:val="16"/>
              </w:rPr>
              <w:t>NmDHS 2025-26: mean absolute error / bias (points)</w:t>
            </w:r>
          </w:p>
        </w:tc>
        <w:tc>
          <w:tcPr>
            <w:tcW w:w="2664" w:type="dxa"/>
            <w:vAlign w:val="center"/>
          </w:tcPr>
          <w:p w14:paraId="6B839E62" w14:textId="77777777" w:rsidR="00374D49" w:rsidRDefault="00374D49">
            <w:pPr>
              <w:keepNext/>
              <w:rPr>
                <w:rFonts w:cs="Times New Roman"/>
                <w:sz w:val="16"/>
                <w:szCs w:val="16"/>
              </w:rPr>
            </w:pPr>
            <w:r>
              <w:rPr>
                <w:rFonts w:cs="Times New Roman"/>
                <w:sz w:val="16"/>
                <w:szCs w:val="16"/>
              </w:rPr>
              <w:t>6.3 / -0.7</w:t>
            </w:r>
          </w:p>
        </w:tc>
        <w:tc>
          <w:tcPr>
            <w:tcW w:w="2620" w:type="dxa"/>
            <w:vAlign w:val="center"/>
          </w:tcPr>
          <w:p w14:paraId="33600253" w14:textId="77777777" w:rsidR="00374D49" w:rsidRDefault="00374D49">
            <w:pPr>
              <w:keepNext/>
              <w:rPr>
                <w:rFonts w:cs="Times New Roman"/>
                <w:sz w:val="16"/>
                <w:szCs w:val="16"/>
              </w:rPr>
            </w:pPr>
            <w:r>
              <w:rPr>
                <w:rFonts w:cs="Times New Roman"/>
                <w:sz w:val="16"/>
                <w:szCs w:val="16"/>
              </w:rPr>
              <w:t>5.9 / +0.1</w:t>
            </w:r>
          </w:p>
        </w:tc>
      </w:tr>
      <w:tr w:rsidR="00374D49" w14:paraId="1C1C506A" w14:textId="77777777">
        <w:trPr>
          <w:cantSplit/>
        </w:trPr>
        <w:tc>
          <w:tcPr>
            <w:tcW w:w="3744" w:type="dxa"/>
            <w:vAlign w:val="center"/>
          </w:tcPr>
          <w:p w14:paraId="679015EA" w14:textId="77777777" w:rsidR="00374D49" w:rsidRDefault="00374D49">
            <w:pPr>
              <w:keepNext/>
              <w:rPr>
                <w:rFonts w:cs="Times New Roman"/>
                <w:sz w:val="16"/>
                <w:szCs w:val="16"/>
              </w:rPr>
            </w:pPr>
            <w:r>
              <w:rPr>
                <w:rFonts w:cs="Times New Roman"/>
                <w:sz w:val="16"/>
                <w:szCs w:val="16"/>
              </w:rPr>
              <w:t>IHME DTP1 2018, 743 LGAs: Spearman ρ (95% CI)</w:t>
            </w:r>
          </w:p>
        </w:tc>
        <w:tc>
          <w:tcPr>
            <w:tcW w:w="2664" w:type="dxa"/>
            <w:vAlign w:val="center"/>
          </w:tcPr>
          <w:p w14:paraId="1DA58DCC" w14:textId="77777777" w:rsidR="00374D49" w:rsidRDefault="00374D49">
            <w:pPr>
              <w:keepNext/>
              <w:rPr>
                <w:rFonts w:cs="Times New Roman"/>
                <w:sz w:val="16"/>
                <w:szCs w:val="16"/>
              </w:rPr>
            </w:pPr>
            <w:r>
              <w:rPr>
                <w:rFonts w:cs="Times New Roman"/>
                <w:sz w:val="16"/>
                <w:szCs w:val="16"/>
              </w:rPr>
              <w:t>0.65 (0.60 to 0.70)</w:t>
            </w:r>
          </w:p>
        </w:tc>
        <w:tc>
          <w:tcPr>
            <w:tcW w:w="2620" w:type="dxa"/>
            <w:vAlign w:val="center"/>
          </w:tcPr>
          <w:p w14:paraId="733D9223" w14:textId="77777777" w:rsidR="00374D49" w:rsidRDefault="00374D49">
            <w:pPr>
              <w:keepNext/>
              <w:rPr>
                <w:rFonts w:cs="Times New Roman"/>
                <w:sz w:val="16"/>
                <w:szCs w:val="16"/>
              </w:rPr>
            </w:pPr>
            <w:r>
              <w:rPr>
                <w:rFonts w:cs="Times New Roman"/>
                <w:sz w:val="16"/>
                <w:szCs w:val="16"/>
              </w:rPr>
              <w:t>0.89 (0.87 to 0.90)</w:t>
            </w:r>
          </w:p>
        </w:tc>
      </w:tr>
      <w:tr w:rsidR="00374D49" w14:paraId="29C2D4A8"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0545A430" w14:textId="77777777" w:rsidR="00374D49" w:rsidRDefault="00374D49">
            <w:pPr>
              <w:keepNext/>
              <w:rPr>
                <w:rFonts w:cs="Times New Roman"/>
                <w:sz w:val="16"/>
                <w:szCs w:val="16"/>
              </w:rPr>
            </w:pPr>
            <w:r>
              <w:rPr>
                <w:rFonts w:cs="Times New Roman"/>
                <w:sz w:val="16"/>
                <w:szCs w:val="16"/>
              </w:rPr>
              <w:t>IHME DTP1 2018, within states: Spearman ρ (95% CI)</w:t>
            </w:r>
          </w:p>
        </w:tc>
        <w:tc>
          <w:tcPr>
            <w:tcW w:w="2664" w:type="dxa"/>
            <w:vAlign w:val="center"/>
          </w:tcPr>
          <w:p w14:paraId="5BB88952" w14:textId="77777777" w:rsidR="00374D49" w:rsidRDefault="00374D49">
            <w:pPr>
              <w:keepNext/>
              <w:rPr>
                <w:rFonts w:cs="Times New Roman"/>
                <w:sz w:val="16"/>
                <w:szCs w:val="16"/>
              </w:rPr>
            </w:pPr>
            <w:r>
              <w:rPr>
                <w:rFonts w:cs="Times New Roman"/>
                <w:sz w:val="16"/>
                <w:szCs w:val="16"/>
              </w:rPr>
              <w:t>0.08 (0.00 to 0.15)</w:t>
            </w:r>
          </w:p>
        </w:tc>
        <w:tc>
          <w:tcPr>
            <w:tcW w:w="2620" w:type="dxa"/>
            <w:vAlign w:val="center"/>
          </w:tcPr>
          <w:p w14:paraId="5178FE5B" w14:textId="77777777" w:rsidR="00374D49" w:rsidRDefault="00374D49">
            <w:pPr>
              <w:keepNext/>
              <w:rPr>
                <w:rFonts w:cs="Times New Roman"/>
                <w:sz w:val="16"/>
                <w:szCs w:val="16"/>
              </w:rPr>
            </w:pPr>
            <w:r>
              <w:rPr>
                <w:rFonts w:cs="Times New Roman"/>
                <w:sz w:val="16"/>
                <w:szCs w:val="16"/>
              </w:rPr>
              <w:t>0.54 (0.48 to 0.59)</w:t>
            </w:r>
          </w:p>
        </w:tc>
      </w:tr>
      <w:tr w:rsidR="00374D49" w14:paraId="176758ED" w14:textId="77777777">
        <w:trPr>
          <w:cantSplit/>
        </w:trPr>
        <w:tc>
          <w:tcPr>
            <w:tcW w:w="3744" w:type="dxa"/>
            <w:vAlign w:val="center"/>
          </w:tcPr>
          <w:p w14:paraId="32650494" w14:textId="77777777" w:rsidR="00374D49" w:rsidRDefault="00374D49">
            <w:pPr>
              <w:keepNext/>
              <w:rPr>
                <w:rFonts w:cs="Times New Roman"/>
                <w:sz w:val="16"/>
                <w:szCs w:val="16"/>
              </w:rPr>
            </w:pPr>
            <w:r>
              <w:rPr>
                <w:rFonts w:cs="Times New Roman"/>
                <w:sz w:val="16"/>
                <w:szCs w:val="16"/>
              </w:rPr>
              <w:t>States with positive within-state agreement</w:t>
            </w:r>
          </w:p>
        </w:tc>
        <w:tc>
          <w:tcPr>
            <w:tcW w:w="2664" w:type="dxa"/>
            <w:vAlign w:val="center"/>
          </w:tcPr>
          <w:p w14:paraId="686D698B" w14:textId="77777777" w:rsidR="00374D49" w:rsidRDefault="00374D49">
            <w:pPr>
              <w:keepNext/>
              <w:rPr>
                <w:rFonts w:cs="Times New Roman"/>
                <w:sz w:val="16"/>
                <w:szCs w:val="16"/>
              </w:rPr>
            </w:pPr>
            <w:r>
              <w:rPr>
                <w:rFonts w:cs="Times New Roman"/>
                <w:sz w:val="16"/>
                <w:szCs w:val="16"/>
              </w:rPr>
              <w:t>22 of 37</w:t>
            </w:r>
          </w:p>
        </w:tc>
        <w:tc>
          <w:tcPr>
            <w:tcW w:w="2620" w:type="dxa"/>
            <w:vAlign w:val="center"/>
          </w:tcPr>
          <w:p w14:paraId="4876FA26" w14:textId="77777777" w:rsidR="00374D49" w:rsidRDefault="00374D49">
            <w:pPr>
              <w:keepNext/>
              <w:rPr>
                <w:rFonts w:cs="Times New Roman"/>
                <w:sz w:val="16"/>
                <w:szCs w:val="16"/>
              </w:rPr>
            </w:pPr>
            <w:r>
              <w:rPr>
                <w:rFonts w:cs="Times New Roman"/>
                <w:sz w:val="16"/>
                <w:szCs w:val="16"/>
              </w:rPr>
              <w:t>36 of 37</w:t>
            </w:r>
          </w:p>
        </w:tc>
      </w:tr>
      <w:tr w:rsidR="00374D49" w14:paraId="2FF5E4FA" w14:textId="77777777">
        <w:trPr>
          <w:cnfStyle w:val="000000100000" w:firstRow="0" w:lastRow="0" w:firstColumn="0" w:lastColumn="0" w:oddVBand="0" w:evenVBand="0" w:oddHBand="1" w:evenHBand="0" w:firstRowFirstColumn="0" w:firstRowLastColumn="0" w:lastRowFirstColumn="0" w:lastRowLastColumn="0"/>
          <w:cantSplit/>
        </w:trPr>
        <w:tc>
          <w:tcPr>
            <w:tcW w:w="3744" w:type="dxa"/>
            <w:vAlign w:val="center"/>
          </w:tcPr>
          <w:p w14:paraId="72CB3CC2" w14:textId="77777777" w:rsidR="00374D49" w:rsidRDefault="00374D49">
            <w:pPr>
              <w:keepNext/>
              <w:rPr>
                <w:rFonts w:cs="Times New Roman"/>
                <w:sz w:val="16"/>
                <w:szCs w:val="16"/>
              </w:rPr>
            </w:pPr>
            <w:r>
              <w:rPr>
                <w:rFonts w:cs="Times New Roman"/>
                <w:sz w:val="16"/>
                <w:szCs w:val="16"/>
              </w:rPr>
              <w:t>LGAs in the top 155 under both methods</w:t>
            </w:r>
          </w:p>
        </w:tc>
        <w:tc>
          <w:tcPr>
            <w:tcW w:w="2664" w:type="dxa"/>
            <w:vAlign w:val="center"/>
          </w:tcPr>
          <w:p w14:paraId="79E6D54F" w14:textId="77777777" w:rsidR="00374D49" w:rsidRDefault="00374D49">
            <w:pPr>
              <w:keepNext/>
              <w:rPr>
                <w:rFonts w:cs="Times New Roman"/>
                <w:sz w:val="16"/>
                <w:szCs w:val="16"/>
              </w:rPr>
            </w:pPr>
            <w:r>
              <w:rPr>
                <w:rFonts w:cs="Times New Roman"/>
                <w:sz w:val="16"/>
                <w:szCs w:val="16"/>
              </w:rPr>
              <w:t>107</w:t>
            </w:r>
          </w:p>
        </w:tc>
        <w:tc>
          <w:tcPr>
            <w:tcW w:w="2620" w:type="dxa"/>
            <w:vAlign w:val="center"/>
          </w:tcPr>
          <w:p w14:paraId="27923B33" w14:textId="77777777" w:rsidR="00374D49" w:rsidRDefault="00374D49">
            <w:pPr>
              <w:keepNext/>
              <w:rPr>
                <w:rFonts w:cs="Times New Roman"/>
                <w:sz w:val="16"/>
                <w:szCs w:val="16"/>
              </w:rPr>
            </w:pPr>
            <w:r>
              <w:rPr>
                <w:rFonts w:cs="Times New Roman"/>
                <w:sz w:val="16"/>
                <w:szCs w:val="16"/>
              </w:rPr>
              <w:t>107</w:t>
            </w:r>
          </w:p>
        </w:tc>
      </w:tr>
    </w:tbl>
    <w:p w14:paraId="075E0F4F" w14:textId="77777777" w:rsidR="00374D49" w:rsidRDefault="00374D49">
      <w:pPr>
        <w:spacing w:after="200" w:line="276" w:lineRule="auto"/>
        <w:jc w:val="both"/>
        <w:rPr>
          <w:rFonts w:cs="Times New Roman"/>
          <w:i/>
          <w:sz w:val="16"/>
          <w:szCs w:val="16"/>
        </w:rPr>
      </w:pPr>
      <w:r>
        <w:rPr>
          <w:rFonts w:cs="Times New Roman"/>
          <w:i/>
          <w:sz w:val="16"/>
          <w:szCs w:val="16"/>
        </w:rPr>
        <w:t>ρ = Spearman rank correlation; 95% CI from 2,000 bootstrap resamples. All p &lt; 0.001 except Method 1 within states (p = 0.03). Within-state agreement uses ranks computed within each state and pooled.</w:t>
      </w:r>
    </w:p>
    <w:p w14:paraId="3E7DFDED" w14:textId="77777777" w:rsidR="00B941FD" w:rsidRPr="00374D49" w:rsidRDefault="00B941FD" w:rsidP="00FD4A5B">
      <w:pPr>
        <w:keepNext/>
        <w:spacing w:before="80" w:after="40" w:line="276" w:lineRule="auto"/>
        <w:jc w:val="both"/>
        <w:rPr>
          <w:rFonts w:cs="Times New Roman"/>
          <w:color w:val="000000" w:themeColor="text1"/>
          <w:szCs w:val="24"/>
        </w:rPr>
      </w:pPr>
      <w:r>
        <w:rPr>
          <w:noProof/>
        </w:rPr>
        <w:lastRenderedPageBreak/>
        <w:drawing>
          <wp:inline distT="0" distB="0" distL="0" distR="0" wp14:anchorId="5D66B418" wp14:editId="4817D4FC">
            <wp:extent cx="5733288" cy="2369057"/>
            <wp:effectExtent l="0" t="0" r="0" b="0"/>
            <wp:docPr id="1964530417" name="Picture 196453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03_agreement_independent_data.png"/>
                    <pic:cNvPicPr/>
                  </pic:nvPicPr>
                  <pic:blipFill>
                    <a:blip r:embed="rId49"/>
                    <a:stretch>
                      <a:fillRect/>
                    </a:stretch>
                  </pic:blipFill>
                  <pic:spPr>
                    <a:xfrm>
                      <a:off x="0" y="0"/>
                      <a:ext cx="5733288" cy="2369057"/>
                    </a:xfrm>
                    <a:prstGeom prst="rect">
                      <a:avLst/>
                    </a:prstGeom>
                  </pic:spPr>
                </pic:pic>
              </a:graphicData>
            </a:graphic>
          </wp:inline>
        </w:drawing>
      </w:r>
    </w:p>
    <w:p w14:paraId="028337BB" w14:textId="77777777" w:rsidR="00B941FD" w:rsidRPr="00374D49" w:rsidRDefault="00B941FD" w:rsidP="00FD4A5B">
      <w:pPr>
        <w:pStyle w:val="MyFigures"/>
        <w:spacing w:line="276" w:lineRule="auto"/>
      </w:pPr>
      <w:bookmarkStart w:id="107" w:name="_Toc242408021"/>
      <w:r>
        <w:t>Figure 26b. Spearman rank correlation of each Domain 5 method with independent data: NmDHS 2025-26 (states) and IHME 2018 (LGAs, overall and within state).</w:t>
      </w:r>
      <w:bookmarkEnd w:id="107"/>
    </w:p>
    <w:p w14:paraId="00001CAC" w14:textId="77777777" w:rsidR="00374D49" w:rsidRDefault="00374D49">
      <w:pPr>
        <w:spacing w:after="200" w:line="276" w:lineRule="auto"/>
        <w:jc w:val="both"/>
        <w:rPr>
          <w:rFonts w:cs="Times New Roman"/>
        </w:rPr>
      </w:pPr>
      <w:r>
        <w:rPr>
          <w:rFonts w:cs="Times New Roman"/>
        </w:rPr>
        <w:t>A third, independent line of evidence points the same way. The pattern also matches the IHME Global Burden of Disease 2023 mortality data, which is the triangulation reported in Section 5.7 at r = 0.87.</w:t>
      </w:r>
    </w:p>
    <w:p w14:paraId="00001CAD" w14:textId="77777777" w:rsidR="00374D49" w:rsidRDefault="00374D49">
      <w:pPr>
        <w:spacing w:after="200" w:line="276" w:lineRule="auto"/>
        <w:jc w:val="both"/>
        <w:rPr>
          <w:rFonts w:cs="Times New Roman"/>
        </w:rPr>
      </w:pPr>
      <w:r>
        <w:rPr>
          <w:rFonts w:cs="Times New Roman"/>
        </w:rPr>
        <w:t>Taken together, a survey published after the work concluded, a coverage surface constructed independently by another team, and an independent mortality series place the same states and the same LGAs in the same order. This convergence across independently produced data sources supports the use of these outputs for Gavi 6.0 targeting.</w:t>
      </w:r>
    </w:p>
    <w:p w14:paraId="259F07F8" w14:textId="77777777" w:rsidR="00DA377E" w:rsidRPr="00374D49" w:rsidRDefault="00DA377E" w:rsidP="00FD4A5B">
      <w:pPr>
        <w:pStyle w:val="Heading1"/>
        <w:spacing w:line="276" w:lineRule="auto"/>
      </w:pPr>
      <w:bookmarkStart w:id="108" w:name="_Toc233107591"/>
      <w:bookmarkStart w:id="109" w:name="_Toc242407933"/>
      <w:r>
        <w:t>6. Readiness Assessment: Baseline and Endline</w:t>
      </w:r>
      <w:bookmarkEnd w:id="108"/>
      <w:bookmarkEnd w:id="109"/>
    </w:p>
    <w:p w14:paraId="526750F0" w14:textId="2841D18B" w:rsidR="00965993"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modelling above is only as useful as the system's capacity to own and operate it. The baseline and endline assessments evaluated that capacity across twelve administrative units using a common instrument, covering data availability, analytics capacity, data-quality governance, systems integration, infrastructure adequacy, and the embedding of predictive modelling into routine governance. Following the agreed structure, baseline and endline results are presented separately below; they are then interpreted together in the Discussion (Section 7).</w:t>
      </w:r>
    </w:p>
    <w:p w14:paraId="11B8D0D0" w14:textId="77777777" w:rsidR="00DA377E" w:rsidRPr="00374D49" w:rsidRDefault="00DA377E" w:rsidP="00FD4A5B">
      <w:pPr>
        <w:pStyle w:val="Heading2"/>
        <w:spacing w:line="276" w:lineRule="auto"/>
      </w:pPr>
      <w:bookmarkStart w:id="110" w:name="_Toc233107592"/>
      <w:bookmarkStart w:id="111" w:name="_Toc242407934"/>
      <w:r>
        <w:t>6.1 Baseline Findings</w:t>
      </w:r>
      <w:bookmarkEnd w:id="110"/>
      <w:bookmarkEnd w:id="111"/>
    </w:p>
    <w:p w14:paraId="7A2F7614" w14:textId="5817A3AB"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assessment combined a two-part quantitative readiness checklist (Part A on the presence of key data and decision-use functions; Part B on capacity, systems, and infrastructure) with key-informant interviews to contextualize the scores. Quantitative results are summarized first, then the qualitative themes.</w:t>
      </w:r>
    </w:p>
    <w:p w14:paraId="1394F86C" w14:textId="550B11CA" w:rsidR="00E5061D" w:rsidRPr="00374D49" w:rsidRDefault="00E5061D" w:rsidP="00FD4A5B">
      <w:pPr>
        <w:keepNext/>
        <w:spacing w:after="140" w:line="276" w:lineRule="auto"/>
        <w:jc w:val="both"/>
        <w:rPr>
          <w:rFonts w:cs="Times New Roman"/>
          <w:color w:val="000000" w:themeColor="text1"/>
          <w:szCs w:val="24"/>
        </w:rPr>
      </w:pPr>
      <w:r>
        <w:rPr>
          <w:rFonts w:cs="Times New Roman"/>
          <w:noProof/>
          <w:szCs w:val="24"/>
        </w:rPr>
        <w:lastRenderedPageBreak/>
        <w:drawing>
          <wp:inline distT="0" distB="0" distL="0" distR="0" wp14:anchorId="24B64F9D" wp14:editId="6038DCD6">
            <wp:extent cx="5731510" cy="4048125"/>
            <wp:effectExtent l="0" t="0" r="0" b="3175"/>
            <wp:docPr id="173555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2951" name=""/>
                    <pic:cNvPicPr/>
                  </pic:nvPicPr>
                  <pic:blipFill>
                    <a:blip r:embed="rId50"/>
                    <a:stretch>
                      <a:fillRect/>
                    </a:stretch>
                  </pic:blipFill>
                  <pic:spPr>
                    <a:xfrm>
                      <a:off x="0" y="0"/>
                      <a:ext cx="5731510" cy="4048125"/>
                    </a:xfrm>
                    <a:prstGeom prst="rect">
                      <a:avLst/>
                    </a:prstGeom>
                  </pic:spPr>
                </pic:pic>
              </a:graphicData>
            </a:graphic>
          </wp:inline>
        </w:drawing>
      </w:r>
    </w:p>
    <w:p w14:paraId="531641E4" w14:textId="2FF24D93" w:rsidR="00E5061D" w:rsidRPr="00374D49" w:rsidRDefault="00E5061D" w:rsidP="00E5061D">
      <w:pPr>
        <w:pStyle w:val="MyFigures"/>
      </w:pPr>
      <w:bookmarkStart w:id="112" w:name="_Toc242408022"/>
      <w:r>
        <w:t>Figure 27: Study States</w:t>
      </w:r>
      <w:bookmarkEnd w:id="112"/>
    </w:p>
    <w:p w14:paraId="09D1D827" w14:textId="77777777" w:rsidR="00DA377E" w:rsidRPr="00374D49" w:rsidRDefault="00DA377E" w:rsidP="00FD4A5B">
      <w:pPr>
        <w:pStyle w:val="Heading3"/>
        <w:spacing w:line="276" w:lineRule="auto"/>
        <w:jc w:val="both"/>
        <w:rPr>
          <w:rFonts w:cs="Times New Roman"/>
        </w:rPr>
      </w:pPr>
      <w:bookmarkStart w:id="113" w:name="_Toc233107593"/>
      <w:bookmarkStart w:id="114" w:name="_Toc242407935"/>
      <w:r>
        <w:rPr>
          <w:rFonts w:cs="Times New Roman"/>
        </w:rPr>
        <w:t>6.1.1 Quantitative readiness (baseline)</w:t>
      </w:r>
      <w:bookmarkEnd w:id="113"/>
      <w:bookmarkEnd w:id="114"/>
    </w:p>
    <w:p w14:paraId="525DFF72" w14:textId="1DEEBD1A"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At baseline, overall Part A checklist scores ranged from 59.5% to 97.6%, with Nasarawa highest (97.6%) and Bayelsa lowest (59.5%). Performance was strongest in data availability, data use for planning and data analysis (most units at or near 100%), while the readiness-for-predictive-modelling sub-domain and governance-related domains showed the widest variation. Bayelsa was the clear outlier, recording low scores in data management and quality (20%), performance monitoring (33.3%), and data use for planning (20%) despite full data-availability compliance.</w:t>
      </w:r>
    </w:p>
    <w:p w14:paraId="7B1DA9DA" w14:textId="1773B72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Part B, capacity scores clustered at the upper end of the 1–5 scale: ten units recorded an overall capacity of 4, and three (Anambra, Bauchi, Ebonyi) recorded 3, with none below 3. Data-quality process maturity was uniformly high (4 for all units except Oyo at 5). On the overall modelling-readiness assessment, most units were classified as High readiness, and Anambra, Bauchi, and Ebonyi Moderate; systems readiness was Strong for Bayelsa, Nasarawa, and Osun, and Weak for Akwa Ibom, Anambra, and Oyo (reflecting weaker infrastructure). Estimated time-to-readiness ranged from 3–6 months for several units to 12+ months for Bauchi and Ebonyi. The baseline Part A scores by unit are shown below; Part B and the overall classification follow the same structure as the endline tables.</w:t>
      </w:r>
    </w:p>
    <w:p w14:paraId="5EBC0306" w14:textId="743A2AAD" w:rsidR="008D6D19" w:rsidRPr="00374D49" w:rsidRDefault="008D6D19" w:rsidP="00FD4A5B">
      <w:pPr>
        <w:pStyle w:val="MyTables"/>
        <w:keepNext/>
        <w:spacing w:line="276" w:lineRule="auto"/>
      </w:pPr>
      <w:bookmarkStart w:id="115" w:name="_Toc242407978"/>
      <w:r>
        <w:t>Table 8. Baseline Part A readiness scores by administrative unit and section</w:t>
      </w:r>
      <w:bookmarkEnd w:id="115"/>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46681207"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640" w:type="dxa"/>
          </w:tcPr>
          <w:p w14:paraId="3C0A108C"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120" w:type="dxa"/>
          </w:tcPr>
          <w:p w14:paraId="6929AA8A"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820" w:type="dxa"/>
          </w:tcPr>
          <w:p w14:paraId="7E806E9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820" w:type="dxa"/>
          </w:tcPr>
          <w:p w14:paraId="202047E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820" w:type="dxa"/>
          </w:tcPr>
          <w:p w14:paraId="1172BAF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820" w:type="dxa"/>
          </w:tcPr>
          <w:p w14:paraId="797C487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820" w:type="dxa"/>
          </w:tcPr>
          <w:p w14:paraId="2FF5AF50"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820" w:type="dxa"/>
          </w:tcPr>
          <w:p w14:paraId="7F536A0C"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820" w:type="dxa"/>
          </w:tcPr>
          <w:p w14:paraId="3E185455"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3DF0425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188658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120" w:type="dxa"/>
          </w:tcPr>
          <w:p w14:paraId="08AB640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81.0</w:t>
            </w:r>
          </w:p>
        </w:tc>
        <w:tc>
          <w:tcPr>
            <w:tcW w:w="820" w:type="dxa"/>
          </w:tcPr>
          <w:p w14:paraId="322929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7030901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580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DE412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11A48B2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707B856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DB899C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66D7E1"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452D84F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120" w:type="dxa"/>
          </w:tcPr>
          <w:p w14:paraId="7E5268D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3A8C148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AFB9F5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820" w:type="dxa"/>
          </w:tcPr>
          <w:p w14:paraId="121D67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0D2B070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22.2</w:t>
            </w:r>
          </w:p>
        </w:tc>
        <w:tc>
          <w:tcPr>
            <w:tcW w:w="820" w:type="dxa"/>
          </w:tcPr>
          <w:p w14:paraId="46B9D1F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B8C79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CD19E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C1D227E"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6774B8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120" w:type="dxa"/>
          </w:tcPr>
          <w:p w14:paraId="03D0C72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B7441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6116A5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528D48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A6E523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55464D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1AD5E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15F32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83AEA1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4C0E5A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120" w:type="dxa"/>
          </w:tcPr>
          <w:p w14:paraId="07374C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59.5</w:t>
            </w:r>
          </w:p>
        </w:tc>
        <w:tc>
          <w:tcPr>
            <w:tcW w:w="820" w:type="dxa"/>
          </w:tcPr>
          <w:p w14:paraId="6F7DB41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73CDE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29AEB2B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33.3</w:t>
            </w:r>
          </w:p>
        </w:tc>
        <w:tc>
          <w:tcPr>
            <w:tcW w:w="820" w:type="dxa"/>
          </w:tcPr>
          <w:p w14:paraId="2E0AFF3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77.8</w:t>
            </w:r>
          </w:p>
        </w:tc>
        <w:tc>
          <w:tcPr>
            <w:tcW w:w="820" w:type="dxa"/>
          </w:tcPr>
          <w:p w14:paraId="76EE51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2FC217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20.0</w:t>
            </w:r>
          </w:p>
        </w:tc>
        <w:tc>
          <w:tcPr>
            <w:tcW w:w="820" w:type="dxa"/>
          </w:tcPr>
          <w:p w14:paraId="440C55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72C181B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7732AB4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120" w:type="dxa"/>
          </w:tcPr>
          <w:p w14:paraId="6DE27EF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820" w:type="dxa"/>
          </w:tcPr>
          <w:p w14:paraId="252E9DD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869B9D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0B2F3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71E4C9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44.4</w:t>
            </w:r>
          </w:p>
        </w:tc>
        <w:tc>
          <w:tcPr>
            <w:tcW w:w="820" w:type="dxa"/>
          </w:tcPr>
          <w:p w14:paraId="406CCB8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820" w:type="dxa"/>
          </w:tcPr>
          <w:p w14:paraId="28C95E0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029E84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5928E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0499A4E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120" w:type="dxa"/>
          </w:tcPr>
          <w:p w14:paraId="15588C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89.7</w:t>
            </w:r>
          </w:p>
        </w:tc>
        <w:tc>
          <w:tcPr>
            <w:tcW w:w="820" w:type="dxa"/>
          </w:tcPr>
          <w:p w14:paraId="011804B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93.3</w:t>
            </w:r>
          </w:p>
        </w:tc>
        <w:tc>
          <w:tcPr>
            <w:tcW w:w="820" w:type="dxa"/>
          </w:tcPr>
          <w:p w14:paraId="1179762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BB5E3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94.4</w:t>
            </w:r>
          </w:p>
        </w:tc>
        <w:tc>
          <w:tcPr>
            <w:tcW w:w="820" w:type="dxa"/>
          </w:tcPr>
          <w:p w14:paraId="0BD8044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59.3</w:t>
            </w:r>
          </w:p>
        </w:tc>
        <w:tc>
          <w:tcPr>
            <w:tcW w:w="820" w:type="dxa"/>
          </w:tcPr>
          <w:p w14:paraId="792812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16BA5E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9C78C2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FEA27B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2824915"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120" w:type="dxa"/>
          </w:tcPr>
          <w:p w14:paraId="7B3A827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0EAB24C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ADFC1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ADFC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CB66F9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4DE3F9E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3DF6EB0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A383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33BD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650236B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120" w:type="dxa"/>
          </w:tcPr>
          <w:p w14:paraId="20FA4D9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3D7F99C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33A83A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6D8EE16"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B32B51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359C0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65398D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BED431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29D700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40AB8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120" w:type="dxa"/>
          </w:tcPr>
          <w:p w14:paraId="6A5B441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820" w:type="dxa"/>
          </w:tcPr>
          <w:p w14:paraId="4A5053F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6B1FF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59A0F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2608F4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D6524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2ACC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0F1AD9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71E012B"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3CDF34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120" w:type="dxa"/>
          </w:tcPr>
          <w:p w14:paraId="59EC08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820" w:type="dxa"/>
          </w:tcPr>
          <w:p w14:paraId="4F075AB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830427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E73F3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14E8F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1DD14DF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820" w:type="dxa"/>
          </w:tcPr>
          <w:p w14:paraId="01A7E6F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2153CE4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B83FB1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451F9F82"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120" w:type="dxa"/>
          </w:tcPr>
          <w:p w14:paraId="693707F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7F3A819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28BB59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4C2FD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07825EE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2F7F95E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CA61A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1B5C35A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3FE418F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640" w:type="dxa"/>
          </w:tcPr>
          <w:p w14:paraId="5144D256"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120" w:type="dxa"/>
          </w:tcPr>
          <w:p w14:paraId="5846086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820" w:type="dxa"/>
          </w:tcPr>
          <w:p w14:paraId="11BE3F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4AA90F6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2C06AA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3AC8AE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820" w:type="dxa"/>
          </w:tcPr>
          <w:p w14:paraId="3FDAA3C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820" w:type="dxa"/>
          </w:tcPr>
          <w:p w14:paraId="41C94C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27865B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22B1710"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40" w:type="dxa"/>
          </w:tcPr>
          <w:p w14:paraId="2C9FA27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120" w:type="dxa"/>
          </w:tcPr>
          <w:p w14:paraId="0329639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820" w:type="dxa"/>
          </w:tcPr>
          <w:p w14:paraId="65DD50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6569F2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74259F3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820" w:type="dxa"/>
          </w:tcPr>
          <w:p w14:paraId="625A1C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820" w:type="dxa"/>
          </w:tcPr>
          <w:p w14:paraId="360E0A3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53AB456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820" w:type="dxa"/>
          </w:tcPr>
          <w:p w14:paraId="6C92AE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bl>
    <w:p w14:paraId="34AD0BD2" w14:textId="77777777" w:rsidR="008D6D19" w:rsidRPr="00374D49" w:rsidRDefault="008D6D19" w:rsidP="00FD4A5B">
      <w:pPr>
        <w:pStyle w:val="Heading3"/>
        <w:spacing w:line="276" w:lineRule="auto"/>
        <w:jc w:val="both"/>
        <w:rPr>
          <w:rFonts w:cs="Times New Roman"/>
        </w:rPr>
      </w:pPr>
      <w:bookmarkStart w:id="116" w:name="_Toc233107594"/>
    </w:p>
    <w:p w14:paraId="7B04695D" w14:textId="77777777" w:rsidR="008D6D19" w:rsidRPr="00374D49" w:rsidRDefault="008D6D19" w:rsidP="00FD4A5B">
      <w:pPr>
        <w:pStyle w:val="Heading3"/>
        <w:spacing w:line="276" w:lineRule="auto"/>
        <w:jc w:val="both"/>
        <w:rPr>
          <w:rFonts w:cs="Times New Roman"/>
        </w:rPr>
      </w:pPr>
    </w:p>
    <w:p w14:paraId="2F38D195" w14:textId="56685151" w:rsidR="00DA377E" w:rsidRPr="00374D49" w:rsidRDefault="00DA377E" w:rsidP="00FD4A5B">
      <w:pPr>
        <w:pStyle w:val="Heading3"/>
        <w:spacing w:line="276" w:lineRule="auto"/>
        <w:jc w:val="both"/>
        <w:rPr>
          <w:rFonts w:cs="Times New Roman"/>
        </w:rPr>
      </w:pPr>
      <w:bookmarkStart w:id="117" w:name="_Toc242407936"/>
      <w:r>
        <w:rPr>
          <w:rFonts w:cs="Times New Roman"/>
        </w:rPr>
        <w:t>6.1.2 Qualitative findings (baseline)</w:t>
      </w:r>
      <w:bookmarkEnd w:id="116"/>
      <w:bookmarkEnd w:id="117"/>
    </w:p>
    <w:p w14:paraId="31CD1B1E" w14:textId="649FB3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baseline key-informant interviews, organized under the same themes as the endline, established the starting picture. On data systems and governance, DHIS2 and HMIS were the central platforms, with supplemental campaign and surveillance data; encryption and audit trails were cited as safeguards, but respondents noted that data security and governance policies were not uniformly enforced. On staff capacity, a significant skills gap existed at national and subnational levels, with foundational skills (data management, statistics, visualisation) present and working knowledge of MySQL and R among some staff, but Python was concentrated in a single individual, a clear single point of failure. Data-quality challenges were persistent and multi-level, rooted in irregular supportive supervision, insufficient logistics (laptops, power, connectivity), human error, and weak policy enforcement.</w:t>
      </w:r>
    </w:p>
    <w:p w14:paraId="24962D82" w14:textId="191F4C2E"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On data use, indicators such as antigen coverage and Penta dropout were reviewed descriptively through dashboards and Excel, not through predictive models. On predictive-modelling awareness, respondents understood the concept and were enthusiastic, citing the RTS, malaria vaccine state selection as prior modelling experience, and identifying clear perceived benefits (outbreak prediction, vaccine allocation, target population estimation, budgeting). The barriers identified were structural and consistent: continuous loss of trained staff to better-resourced partners, weak governance enforcement, a subnational infrastructure deficit, narrow programming capacity, and a reactive analytical culture focused on describing the past rather than forecasting. At the state level, capability was real but typically concentrated in one individual (for example, the Akwa Ibom State M&amp;E Officer), with the absence of R and Python skills and a non-functional DIH limiting broader readiness, a pattern that recurs across the assessed states.</w:t>
      </w:r>
    </w:p>
    <w:p w14:paraId="305CA560" w14:textId="4348AA62"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Several states illustrated the baseline picture concretely. Nasarawa had the most advanced setup, with an M&amp;E officer running a near-real-time monitoring system built on an SMS gateway, a custom Excel dashboard, QGIS settlement mapping, and a red-yellow-green risk framework, producing the fastest data-to-action cycle in the assessment (emergency </w:t>
      </w:r>
      <w:r>
        <w:rPr>
          <w:rFonts w:cs="Times New Roman"/>
          <w:color w:val="000000" w:themeColor="text1"/>
          <w:szCs w:val="24"/>
        </w:rPr>
        <w:lastRenderedPageBreak/>
        <w:t>declarations within 24 hours of AFP surveillance data) but resting entirely on one individual. Oyo employed a dedicated analyst using Power BI, Power Query, and SPSS with consumption-based vaccine forecasting already in practice, yet its entire seven-person data team shared a single computer. Jigawa presented a stronger modelling baseline than most, with two to three staff having some Python knowledge and 281 computers deployed to facilities, though training was limited to data entry. Osun operated a three-copy immunisation-card system and community-mobiliser networks, but staff reported using personal funds for DHIS2 uploads. In Sokoto, awareness of predictive modelling was very limited, and the Digital Innovation Hub was unknown to all respondents. Across the lowest-scoring southern states (Akwa Ibom, Anambra, Bayelsa, Ebonyi), respondents could articulate the value of predictive tools but lacked the enabling conditions (stable power, functional computers, connectivity, and trained staff) to support routine analytics.</w:t>
      </w:r>
    </w:p>
    <w:p w14:paraId="6D4122D9" w14:textId="77777777" w:rsidR="00DA377E" w:rsidRPr="00374D49" w:rsidRDefault="00DA377E" w:rsidP="00FD4A5B">
      <w:pPr>
        <w:pStyle w:val="Heading2"/>
        <w:spacing w:line="276" w:lineRule="auto"/>
      </w:pPr>
      <w:bookmarkStart w:id="118" w:name="_Toc233107595"/>
      <w:bookmarkStart w:id="119" w:name="_Toc242407937"/>
      <w:r>
        <w:t>6.2 Endline Findings</w:t>
      </w:r>
      <w:bookmarkEnd w:id="118"/>
      <w:bookmarkEnd w:id="119"/>
    </w:p>
    <w:p w14:paraId="76E2C9E7" w14:textId="030F7E71"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assessment revisited the same thirteen administrative units using the same instruments and analytical framework to document changes in readiness and the extent to which predictive modelling can be embedded in routine immunization planning and decision-making.</w:t>
      </w:r>
    </w:p>
    <w:p w14:paraId="7568927C" w14:textId="26CEE096" w:rsidR="00DA377E" w:rsidRPr="00374D49" w:rsidRDefault="00801ED3" w:rsidP="00FD4A5B">
      <w:pPr>
        <w:pStyle w:val="Heading3"/>
        <w:spacing w:line="276" w:lineRule="auto"/>
        <w:jc w:val="both"/>
        <w:rPr>
          <w:rFonts w:cs="Times New Roman"/>
        </w:rPr>
      </w:pPr>
      <w:bookmarkStart w:id="120" w:name="_Toc233107596"/>
      <w:bookmarkStart w:id="121" w:name="_Toc242407938"/>
      <w:r>
        <w:rPr>
          <w:rFonts w:cs="Times New Roman"/>
        </w:rPr>
        <w:t>6.2.1 Quantitative Readiness (Endline)</w:t>
      </w:r>
      <w:bookmarkEnd w:id="120"/>
      <w:bookmarkEnd w:id="121"/>
    </w:p>
    <w:p w14:paraId="47C88AB8" w14:textId="55BD5C73"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The endline quantitative checklist assessed institutional preparedness for predictive-modelling integration across thirteen administrative units: the NPHCDA (National), the FCT, and eleven participating states. It comprises Part A, a readiness checklist covering data availability and decision-use functions, and Part B, an assessment of capacity, systems, and infrastructure on a 1–5 scale.</w:t>
      </w:r>
    </w:p>
    <w:p w14:paraId="737E8F6E" w14:textId="77777777" w:rsidR="00DA377E" w:rsidRPr="00374D49" w:rsidRDefault="00DA377E" w:rsidP="00FD4A5B">
      <w:pPr>
        <w:spacing w:before="80" w:after="100" w:line="276" w:lineRule="auto"/>
        <w:jc w:val="both"/>
        <w:rPr>
          <w:rFonts w:cs="Times New Roman"/>
          <w:color w:val="000000" w:themeColor="text1"/>
          <w:szCs w:val="24"/>
        </w:rPr>
      </w:pPr>
      <w:r>
        <w:rPr>
          <w:rFonts w:cs="Times New Roman"/>
          <w:b/>
          <w:bCs/>
          <w:color w:val="000000" w:themeColor="text1"/>
          <w:szCs w:val="24"/>
        </w:rPr>
        <w:t xml:space="preserve">Part A — Readiness checklist. </w:t>
      </w:r>
    </w:p>
    <w:p w14:paraId="59515FF4" w14:textId="2EE61AC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Overall Part A scores ranged from 78.6% to 97.6%, with Bauchi highest (97.6%) and Anambra lowest (78.6%); eight of the thirteen units scored at or above 90%, indicating that basic data-use structures are broadly established at national and subnational levels. Performance was strongest and most uniform in data availability and access, data use for planning (100% across all units), and data analysis and interpretation, where most units recorded full confirmation. The clearest differentiator was readiness for predictive modelling and advanced analytics, which ranged from 55.6% (Akwa Ibom, Anambra, Oyo, Sokoto) to 100% (Bauchi, Bayelsa, Jigawa), confirming that advanced analytics capacity, rather than routine data handling, is where targeted, differentiated support is still needed. System constraints and opportunities showed the National unit lowest at 42.9%.</w:t>
      </w:r>
    </w:p>
    <w:p w14:paraId="21DAEA2F"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Operational indicators varied across units: reporting lag time ranged from quarterly (Sokoto) through monthly (most units) to real-time/same-day (Bauchi, Gombe, Osun); data-linkage capacity ranged from lowest-observed at National to manual or support-dependent elsewhere; and sex-disaggregation practice ranged from rare (Bayelsa, Sokoto) to systematic (Akwa Ibom, Bauchi, Gombe, Jigawa, National, Osun).</w:t>
      </w:r>
    </w:p>
    <w:p w14:paraId="027FA23F" w14:textId="05B4EAFD" w:rsidR="008D6D19" w:rsidRPr="00374D49" w:rsidRDefault="008D6D19" w:rsidP="00FD4A5B">
      <w:pPr>
        <w:pStyle w:val="MyTables"/>
        <w:keepNext/>
        <w:spacing w:line="276" w:lineRule="auto"/>
      </w:pPr>
      <w:bookmarkStart w:id="122" w:name="_Toc242407979"/>
      <w:r>
        <w:t>Table 9. Part A readiness scores by administrative unit and section</w:t>
      </w:r>
      <w:bookmarkEnd w:id="122"/>
      <w:r>
        <w:t xml:space="preserve"> </w:t>
      </w:r>
    </w:p>
    <w:tbl>
      <w:tblPr>
        <w:tblStyle w:val="PlainTable5"/>
        <w:tblW w:w="9360" w:type="dxa"/>
        <w:tblLook w:val="04A0" w:firstRow="1" w:lastRow="0" w:firstColumn="1" w:lastColumn="0" w:noHBand="0" w:noVBand="1"/>
      </w:tblPr>
      <w:tblGrid>
        <w:gridCol w:w="1806"/>
        <w:gridCol w:w="1233"/>
        <w:gridCol w:w="903"/>
        <w:gridCol w:w="903"/>
        <w:gridCol w:w="903"/>
        <w:gridCol w:w="903"/>
        <w:gridCol w:w="903"/>
        <w:gridCol w:w="903"/>
        <w:gridCol w:w="903"/>
      </w:tblGrid>
      <w:tr w:rsidR="00203D70" w:rsidRPr="00374D49" w14:paraId="087569ED" w14:textId="77777777" w:rsidTr="008D6D19">
        <w:trPr>
          <w:cnfStyle w:val="100000000000" w:firstRow="1" w:lastRow="0" w:firstColumn="0" w:lastColumn="0" w:oddVBand="0" w:evenVBand="0" w:oddHBand="0" w:evenHBand="0" w:firstRowFirstColumn="0" w:firstRowLastColumn="0" w:lastRowFirstColumn="0" w:lastRowLastColumn="0"/>
          <w:cantSplit/>
          <w:tblHeader/>
        </w:trPr>
        <w:tc>
          <w:tcPr>
            <w:cnfStyle w:val="001000000100" w:firstRow="0" w:lastRow="0" w:firstColumn="1" w:lastColumn="0" w:oddVBand="0" w:evenVBand="0" w:oddHBand="0" w:evenHBand="0" w:firstRowFirstColumn="1" w:firstRowLastColumn="0" w:lastRowFirstColumn="0" w:lastRowLastColumn="0"/>
            <w:tcW w:w="1806" w:type="dxa"/>
          </w:tcPr>
          <w:p w14:paraId="6656DF0B"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233" w:type="dxa"/>
          </w:tcPr>
          <w:p w14:paraId="2DB79E43"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Overall %</w:t>
            </w:r>
          </w:p>
        </w:tc>
        <w:tc>
          <w:tcPr>
            <w:tcW w:w="903" w:type="dxa"/>
          </w:tcPr>
          <w:p w14:paraId="783F2E14"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S1</w:t>
            </w:r>
          </w:p>
        </w:tc>
        <w:tc>
          <w:tcPr>
            <w:tcW w:w="903" w:type="dxa"/>
          </w:tcPr>
          <w:p w14:paraId="2AD7A8E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S2</w:t>
            </w:r>
          </w:p>
        </w:tc>
        <w:tc>
          <w:tcPr>
            <w:tcW w:w="903" w:type="dxa"/>
          </w:tcPr>
          <w:p w14:paraId="2E76A412"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S3</w:t>
            </w:r>
          </w:p>
        </w:tc>
        <w:tc>
          <w:tcPr>
            <w:tcW w:w="903" w:type="dxa"/>
          </w:tcPr>
          <w:p w14:paraId="1881025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S4</w:t>
            </w:r>
          </w:p>
        </w:tc>
        <w:tc>
          <w:tcPr>
            <w:tcW w:w="903" w:type="dxa"/>
          </w:tcPr>
          <w:p w14:paraId="28434EC6"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S5</w:t>
            </w:r>
          </w:p>
        </w:tc>
        <w:tc>
          <w:tcPr>
            <w:tcW w:w="903" w:type="dxa"/>
          </w:tcPr>
          <w:p w14:paraId="3931B7E1"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S6</w:t>
            </w:r>
          </w:p>
        </w:tc>
        <w:tc>
          <w:tcPr>
            <w:tcW w:w="903" w:type="dxa"/>
          </w:tcPr>
          <w:p w14:paraId="4368042F"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S7</w:t>
            </w:r>
          </w:p>
        </w:tc>
      </w:tr>
      <w:tr w:rsidR="00203D70" w:rsidRPr="00374D49" w14:paraId="0BA2CD36"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1B6D5D5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233" w:type="dxa"/>
          </w:tcPr>
          <w:p w14:paraId="4DA203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B77E63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C7048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60.0</w:t>
            </w:r>
          </w:p>
        </w:tc>
        <w:tc>
          <w:tcPr>
            <w:tcW w:w="903" w:type="dxa"/>
          </w:tcPr>
          <w:p w14:paraId="6B04716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7F3A2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FE7042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6E3B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A9FED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C6A8B8E"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FA7463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Anambra</w:t>
            </w:r>
          </w:p>
        </w:tc>
        <w:tc>
          <w:tcPr>
            <w:tcW w:w="1233" w:type="dxa"/>
          </w:tcPr>
          <w:p w14:paraId="4F3C9AC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78.6</w:t>
            </w:r>
          </w:p>
        </w:tc>
        <w:tc>
          <w:tcPr>
            <w:tcW w:w="903" w:type="dxa"/>
          </w:tcPr>
          <w:p w14:paraId="630A50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1DCAD57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096CF06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334F910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E7AE1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B2F9B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C5B7A2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6F4C9C5"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E7888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233" w:type="dxa"/>
          </w:tcPr>
          <w:p w14:paraId="411770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97.6</w:t>
            </w:r>
          </w:p>
        </w:tc>
        <w:tc>
          <w:tcPr>
            <w:tcW w:w="903" w:type="dxa"/>
          </w:tcPr>
          <w:p w14:paraId="3B499E7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25044D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6DEC9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01AE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2A4117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1B3ED1F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40961A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5A5C862A"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7ED4C9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233" w:type="dxa"/>
          </w:tcPr>
          <w:p w14:paraId="659FA49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3879A14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D2DD12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c>
          <w:tcPr>
            <w:tcW w:w="903" w:type="dxa"/>
          </w:tcPr>
          <w:p w14:paraId="51BD9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71872D09"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9D7A54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0ECB47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3D415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9FEE5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A93F1BE"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233" w:type="dxa"/>
          </w:tcPr>
          <w:p w14:paraId="08ADE2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90.5</w:t>
            </w:r>
          </w:p>
        </w:tc>
        <w:tc>
          <w:tcPr>
            <w:tcW w:w="903" w:type="dxa"/>
          </w:tcPr>
          <w:p w14:paraId="11E4ED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68306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B8ACB0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9BA3E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66.7</w:t>
            </w:r>
          </w:p>
        </w:tc>
        <w:tc>
          <w:tcPr>
            <w:tcW w:w="903" w:type="dxa"/>
          </w:tcPr>
          <w:p w14:paraId="2BEAF4D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6FC07B0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3BC27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1C8A1EF3"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B86CE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233" w:type="dxa"/>
          </w:tcPr>
          <w:p w14:paraId="7DB0CBE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028A39C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D836D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0BC36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83.3</w:t>
            </w:r>
          </w:p>
        </w:tc>
        <w:tc>
          <w:tcPr>
            <w:tcW w:w="903" w:type="dxa"/>
          </w:tcPr>
          <w:p w14:paraId="4F77B1B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DEA4FDE"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06DC8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F46071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6B716C29"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9D208D8"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1233" w:type="dxa"/>
          </w:tcPr>
          <w:p w14:paraId="09AA4BF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95.2</w:t>
            </w:r>
          </w:p>
        </w:tc>
        <w:tc>
          <w:tcPr>
            <w:tcW w:w="903" w:type="dxa"/>
          </w:tcPr>
          <w:p w14:paraId="65321D1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E9423E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4320F2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F7B90BA"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26BEF5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71C97FD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A39835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26E3C47D"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794F57E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233" w:type="dxa"/>
          </w:tcPr>
          <w:p w14:paraId="73EB3DA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22A95E0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689001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5727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95C9B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869A84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57.1</w:t>
            </w:r>
          </w:p>
        </w:tc>
        <w:tc>
          <w:tcPr>
            <w:tcW w:w="903" w:type="dxa"/>
          </w:tcPr>
          <w:p w14:paraId="1868E03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A6D8714"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870C4F8"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0AF5A80F"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233" w:type="dxa"/>
          </w:tcPr>
          <w:p w14:paraId="0D3D073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794A9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3CE5600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A1AB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33F5D92"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70F594F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186082E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98B84C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7D608417"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941244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233" w:type="dxa"/>
          </w:tcPr>
          <w:p w14:paraId="031A7F62"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2A958B2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4608F6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0D7CE2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520C401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B0302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42.9</w:t>
            </w:r>
          </w:p>
        </w:tc>
        <w:tc>
          <w:tcPr>
            <w:tcW w:w="903" w:type="dxa"/>
          </w:tcPr>
          <w:p w14:paraId="7D85B9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E26B0F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r w:rsidR="00203D70" w:rsidRPr="00374D49" w14:paraId="26249D33"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7AB870A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233" w:type="dxa"/>
          </w:tcPr>
          <w:p w14:paraId="10C75C5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92.9</w:t>
            </w:r>
          </w:p>
        </w:tc>
        <w:tc>
          <w:tcPr>
            <w:tcW w:w="903" w:type="dxa"/>
          </w:tcPr>
          <w:p w14:paraId="4B2D3D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191F36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77342F8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8113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88.9</w:t>
            </w:r>
          </w:p>
        </w:tc>
        <w:tc>
          <w:tcPr>
            <w:tcW w:w="903" w:type="dxa"/>
          </w:tcPr>
          <w:p w14:paraId="36D2EE3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550AAB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574351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434E0BBF" w14:textId="77777777" w:rsidTr="008D6D19">
        <w:trPr>
          <w:cantSplit/>
        </w:trPr>
        <w:tc>
          <w:tcPr>
            <w:cnfStyle w:val="001000000000" w:firstRow="0" w:lastRow="0" w:firstColumn="1" w:lastColumn="0" w:oddVBand="0" w:evenVBand="0" w:oddHBand="0" w:evenHBand="0" w:firstRowFirstColumn="0" w:firstRowLastColumn="0" w:lastRowFirstColumn="0" w:lastRowLastColumn="0"/>
            <w:tcW w:w="1806" w:type="dxa"/>
          </w:tcPr>
          <w:p w14:paraId="65AF871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233" w:type="dxa"/>
          </w:tcPr>
          <w:p w14:paraId="19DD735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85.7</w:t>
            </w:r>
          </w:p>
        </w:tc>
        <w:tc>
          <w:tcPr>
            <w:tcW w:w="903" w:type="dxa"/>
          </w:tcPr>
          <w:p w14:paraId="5F9E94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1A50FA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45546F8"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690436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07769FD0"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71.4</w:t>
            </w:r>
          </w:p>
        </w:tc>
        <w:tc>
          <w:tcPr>
            <w:tcW w:w="903" w:type="dxa"/>
          </w:tcPr>
          <w:p w14:paraId="6CDD966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BE09F5B"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r>
      <w:tr w:rsidR="00203D70" w:rsidRPr="00374D49" w14:paraId="0558D5E7" w14:textId="77777777" w:rsidTr="008D6D1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6" w:type="dxa"/>
          </w:tcPr>
          <w:p w14:paraId="242586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233" w:type="dxa"/>
          </w:tcPr>
          <w:p w14:paraId="4E9BA28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88.1</w:t>
            </w:r>
          </w:p>
        </w:tc>
        <w:tc>
          <w:tcPr>
            <w:tcW w:w="903" w:type="dxa"/>
          </w:tcPr>
          <w:p w14:paraId="43B81DF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09627AA7"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2081E0E"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2C75BA35"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55.6</w:t>
            </w:r>
          </w:p>
        </w:tc>
        <w:tc>
          <w:tcPr>
            <w:tcW w:w="903" w:type="dxa"/>
          </w:tcPr>
          <w:p w14:paraId="3B7542C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1C9040C9"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100</w:t>
            </w:r>
          </w:p>
        </w:tc>
        <w:tc>
          <w:tcPr>
            <w:tcW w:w="903" w:type="dxa"/>
          </w:tcPr>
          <w:p w14:paraId="65122D1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80.0</w:t>
            </w:r>
          </w:p>
        </w:tc>
      </w:tr>
    </w:tbl>
    <w:p w14:paraId="583E635D" w14:textId="77777777" w:rsidR="00AB33AC" w:rsidRPr="00374D49" w:rsidRDefault="00AB33AC" w:rsidP="00FD4A5B">
      <w:pPr>
        <w:spacing w:before="120" w:after="100" w:line="276" w:lineRule="auto"/>
        <w:jc w:val="both"/>
        <w:rPr>
          <w:rFonts w:cs="Times New Roman"/>
          <w:i/>
          <w:iCs/>
          <w:color w:val="000000" w:themeColor="text1"/>
          <w:sz w:val="14"/>
          <w:szCs w:val="14"/>
        </w:rPr>
      </w:pPr>
    </w:p>
    <w:p w14:paraId="63D3B6FD" w14:textId="5757A413" w:rsidR="008D6D19" w:rsidRPr="00374D49" w:rsidRDefault="008D6D19" w:rsidP="00FD4A5B">
      <w:pPr>
        <w:spacing w:before="120" w:after="100" w:line="276" w:lineRule="auto"/>
        <w:jc w:val="both"/>
        <w:rPr>
          <w:rFonts w:cs="Times New Roman"/>
          <w:i/>
          <w:iCs/>
          <w:color w:val="000000" w:themeColor="text1"/>
          <w:sz w:val="14"/>
          <w:szCs w:val="14"/>
        </w:rPr>
      </w:pPr>
      <w:r>
        <w:rPr>
          <w:rFonts w:cs="Times New Roman"/>
          <w:i/>
          <w:iCs/>
          <w:color w:val="000000" w:themeColor="text1"/>
          <w:sz w:val="14"/>
          <w:szCs w:val="14"/>
        </w:rPr>
        <w:t>(S1 Data availability; S2 Data management &amp; quality; S3 Performance monitoring &amp; feedback; S4 Readiness for predictive modelling; S5 System constraints &amp; opportunities; S6 Data use for planning; S7 Data analysis &amp; interpretation).</w:t>
      </w:r>
    </w:p>
    <w:p w14:paraId="3A70F9CA" w14:textId="77777777" w:rsidR="008D6D19" w:rsidRPr="00374D49" w:rsidRDefault="008D6D19" w:rsidP="00FD4A5B">
      <w:pPr>
        <w:spacing w:before="120" w:after="100" w:line="276" w:lineRule="auto"/>
        <w:jc w:val="both"/>
        <w:rPr>
          <w:rFonts w:cs="Times New Roman"/>
          <w:b/>
          <w:bCs/>
          <w:color w:val="000000" w:themeColor="text1"/>
          <w:szCs w:val="24"/>
        </w:rPr>
      </w:pPr>
    </w:p>
    <w:p w14:paraId="4C9A5E76" w14:textId="77777777" w:rsidR="008D6D19" w:rsidRPr="00374D49" w:rsidRDefault="008D6D19" w:rsidP="00FD4A5B">
      <w:pPr>
        <w:spacing w:before="120" w:after="100" w:line="276" w:lineRule="auto"/>
        <w:jc w:val="both"/>
        <w:rPr>
          <w:rFonts w:cs="Times New Roman"/>
          <w:b/>
          <w:bCs/>
          <w:color w:val="000000" w:themeColor="text1"/>
          <w:szCs w:val="24"/>
        </w:rPr>
      </w:pPr>
    </w:p>
    <w:p w14:paraId="337B0810" w14:textId="66AD8F99"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 xml:space="preserve">Part B — Capacity, systems, and infrastructure. </w:t>
      </w:r>
    </w:p>
    <w:p w14:paraId="11F12961" w14:textId="2D259239" w:rsidR="00DA377E" w:rsidRPr="00374D49" w:rsidRDefault="00A25747" w:rsidP="00FD4A5B">
      <w:pPr>
        <w:spacing w:after="140" w:line="276" w:lineRule="auto"/>
        <w:jc w:val="both"/>
        <w:rPr>
          <w:rFonts w:cs="Times New Roman"/>
          <w:color w:val="000000" w:themeColor="text1"/>
          <w:szCs w:val="24"/>
        </w:rPr>
      </w:pPr>
      <w:r>
        <w:rPr>
          <w:rFonts w:cs="Times New Roman"/>
          <w:color w:val="000000" w:themeColor="text1"/>
          <w:szCs w:val="24"/>
        </w:rPr>
        <w:t>Part B assessed staff competency, data-quality processes, data use and decision impact, systems integration, data standards, and infrastructure adequacy across the thirteen administrative units. Exact overall capacity scores ranged from 3.1 in Anambra to 4.7 in Jigawa. Eight units; Akwa Ibom, Bauchi, Bayelsa, FCT Abuja, Jigawa, Nassarawa, Oyo, and Sokoto were classified as having high capacity readiness, while Anambra, Ebonyi, Gombe, National, and Osun were classified as moderate; no unit fell within the low-capacity category. Staff competency showed the widest variation, ranging from 2.0 in Anambra and Osun to 5.0 in Jigawa and Sokoto. Data-quality process scores were comparatively stable, ranging from 3.3 to 5.0, while data use and decision impact ranged from 3.0 to 5.0.</w:t>
      </w:r>
    </w:p>
    <w:p w14:paraId="2BB0434B" w14:textId="5D13D32E" w:rsidR="00AB33AC" w:rsidRPr="00374D49" w:rsidRDefault="00AB33AC" w:rsidP="00FD4A5B">
      <w:pPr>
        <w:pStyle w:val="MyTables"/>
        <w:keepNext/>
        <w:spacing w:line="276" w:lineRule="auto"/>
      </w:pPr>
      <w:bookmarkStart w:id="123" w:name="_Toc242407980"/>
      <w:r>
        <w:t>Table 10. Part B Capacity, Systems, and Infrastructure Assessment Scores by Administrative Unit</w:t>
      </w:r>
      <w:bookmarkEnd w:id="123"/>
    </w:p>
    <w:tbl>
      <w:tblPr>
        <w:tblStyle w:val="PlainTable5"/>
        <w:tblW w:w="10104" w:type="dxa"/>
        <w:jc w:val="center"/>
        <w:tblLook w:val="04A0" w:firstRow="1" w:lastRow="0" w:firstColumn="1" w:lastColumn="0" w:noHBand="0" w:noVBand="1"/>
      </w:tblPr>
      <w:tblGrid>
        <w:gridCol w:w="1203"/>
        <w:gridCol w:w="1083"/>
        <w:gridCol w:w="1430"/>
        <w:gridCol w:w="976"/>
        <w:gridCol w:w="1083"/>
        <w:gridCol w:w="1482"/>
        <w:gridCol w:w="1217"/>
        <w:gridCol w:w="1630"/>
      </w:tblGrid>
      <w:tr w:rsidR="009D0A68" w:rsidRPr="00374D49" w14:paraId="79963826"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203" w:type="dxa"/>
            <w:tcBorders>
              <w:bottom w:val="single" w:sz="4" w:space="0" w:color="auto"/>
              <w:right w:val="single" w:sz="4" w:space="0" w:color="auto"/>
            </w:tcBorders>
          </w:tcPr>
          <w:p w14:paraId="6BCD205D" w14:textId="77777777" w:rsidR="009D0A68" w:rsidRPr="00374D49" w:rsidRDefault="009D0A68"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83" w:type="dxa"/>
            <w:tcBorders>
              <w:left w:val="single" w:sz="4" w:space="0" w:color="auto"/>
              <w:bottom w:val="single" w:sz="4" w:space="0" w:color="auto"/>
            </w:tcBorders>
          </w:tcPr>
          <w:p w14:paraId="375F7D7B" w14:textId="719A5F3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Overall Capacity</w:t>
            </w:r>
          </w:p>
        </w:tc>
        <w:tc>
          <w:tcPr>
            <w:tcW w:w="1430" w:type="dxa"/>
            <w:tcBorders>
              <w:bottom w:val="single" w:sz="4" w:space="0" w:color="auto"/>
            </w:tcBorders>
          </w:tcPr>
          <w:p w14:paraId="655DAE86" w14:textId="359A3B13"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Staff Competency</w:t>
            </w:r>
          </w:p>
        </w:tc>
        <w:tc>
          <w:tcPr>
            <w:tcW w:w="976" w:type="dxa"/>
            <w:tcBorders>
              <w:bottom w:val="single" w:sz="4" w:space="0" w:color="auto"/>
              <w:right w:val="single" w:sz="4" w:space="0" w:color="auto"/>
            </w:tcBorders>
          </w:tcPr>
          <w:p w14:paraId="55FD3886" w14:textId="7EE9421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Quality Process</w:t>
            </w:r>
          </w:p>
        </w:tc>
        <w:tc>
          <w:tcPr>
            <w:tcW w:w="1083" w:type="dxa"/>
            <w:tcBorders>
              <w:left w:val="single" w:sz="4" w:space="0" w:color="auto"/>
              <w:bottom w:val="single" w:sz="4" w:space="0" w:color="auto"/>
            </w:tcBorders>
          </w:tcPr>
          <w:p w14:paraId="6E6E5175" w14:textId="69569A60"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Use / Decision Impact</w:t>
            </w:r>
          </w:p>
        </w:tc>
        <w:tc>
          <w:tcPr>
            <w:tcW w:w="1482" w:type="dxa"/>
            <w:tcBorders>
              <w:bottom w:val="single" w:sz="4" w:space="0" w:color="auto"/>
            </w:tcBorders>
          </w:tcPr>
          <w:p w14:paraId="1937DB1C" w14:textId="0C26F751"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Systems Integration Level</w:t>
            </w:r>
          </w:p>
        </w:tc>
        <w:tc>
          <w:tcPr>
            <w:tcW w:w="1217" w:type="dxa"/>
            <w:tcBorders>
              <w:bottom w:val="single" w:sz="4" w:space="0" w:color="auto"/>
            </w:tcBorders>
          </w:tcPr>
          <w:p w14:paraId="0EDD8057" w14:textId="3B1CFA64"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Data Standards Strength</w:t>
            </w:r>
          </w:p>
        </w:tc>
        <w:tc>
          <w:tcPr>
            <w:tcW w:w="1630" w:type="dxa"/>
            <w:tcBorders>
              <w:bottom w:val="single" w:sz="4" w:space="0" w:color="auto"/>
            </w:tcBorders>
          </w:tcPr>
          <w:p w14:paraId="629141CD" w14:textId="6B34E08E" w:rsidR="009D0A68" w:rsidRPr="00374D49" w:rsidRDefault="009D0A68"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Cs w:val="24"/>
              </w:rPr>
            </w:pPr>
            <w:r>
              <w:rPr>
                <w:rFonts w:cs="Times New Roman"/>
                <w:b/>
                <w:bCs/>
              </w:rPr>
              <w:t>Infrastructure Adequacy</w:t>
            </w:r>
          </w:p>
        </w:tc>
      </w:tr>
      <w:tr w:rsidR="004F07CF" w:rsidRPr="00374D49" w14:paraId="2FE248F7"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bottom w:val="single" w:sz="4" w:space="0" w:color="auto"/>
              <w:right w:val="single" w:sz="4" w:space="0" w:color="auto"/>
            </w:tcBorders>
          </w:tcPr>
          <w:p w14:paraId="7F85AA54" w14:textId="77777777" w:rsidR="004F07CF" w:rsidRPr="00374D49" w:rsidRDefault="004F07CF" w:rsidP="00FD4A5B">
            <w:pPr>
              <w:spacing w:line="276" w:lineRule="auto"/>
              <w:jc w:val="both"/>
              <w:rPr>
                <w:rFonts w:cs="Times New Roman"/>
                <w:b/>
                <w:bCs/>
                <w:color w:val="000000" w:themeColor="text1"/>
                <w:szCs w:val="24"/>
              </w:rPr>
            </w:pPr>
          </w:p>
        </w:tc>
        <w:tc>
          <w:tcPr>
            <w:tcW w:w="3489" w:type="dxa"/>
            <w:gridSpan w:val="3"/>
            <w:tcBorders>
              <w:top w:val="single" w:sz="4" w:space="0" w:color="auto"/>
              <w:left w:val="single" w:sz="4" w:space="0" w:color="auto"/>
              <w:bottom w:val="single" w:sz="4" w:space="0" w:color="auto"/>
              <w:right w:val="single" w:sz="4" w:space="0" w:color="auto"/>
            </w:tcBorders>
          </w:tcPr>
          <w:p w14:paraId="5BCF45A6" w14:textId="434DF7C6"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Capacity Score</w:t>
            </w:r>
          </w:p>
        </w:tc>
        <w:tc>
          <w:tcPr>
            <w:tcW w:w="5412" w:type="dxa"/>
            <w:gridSpan w:val="4"/>
            <w:tcBorders>
              <w:top w:val="single" w:sz="4" w:space="0" w:color="auto"/>
              <w:left w:val="single" w:sz="4" w:space="0" w:color="auto"/>
              <w:bottom w:val="single" w:sz="4" w:space="0" w:color="auto"/>
            </w:tcBorders>
          </w:tcPr>
          <w:p w14:paraId="1AE07481" w14:textId="2FD2B764" w:rsidR="004F07CF" w:rsidRPr="00374D49" w:rsidRDefault="004F07CF"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b/>
                <w:bCs/>
                <w:color w:val="000000" w:themeColor="text1"/>
                <w:szCs w:val="24"/>
              </w:rPr>
            </w:pPr>
            <w:r>
              <w:rPr>
                <w:rFonts w:cs="Times New Roman"/>
                <w:b/>
                <w:bCs/>
                <w:color w:val="000000" w:themeColor="text1"/>
                <w:szCs w:val="24"/>
              </w:rPr>
              <w:t>Systems Integration</w:t>
            </w:r>
          </w:p>
        </w:tc>
      </w:tr>
      <w:tr w:rsidR="001B2F9B" w:rsidRPr="00374D49" w14:paraId="144B2ED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top w:val="single" w:sz="4" w:space="0" w:color="auto"/>
              <w:right w:val="single" w:sz="4" w:space="0" w:color="auto"/>
            </w:tcBorders>
          </w:tcPr>
          <w:p w14:paraId="12F5127A"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Akwa Ibom</w:t>
            </w:r>
          </w:p>
        </w:tc>
        <w:tc>
          <w:tcPr>
            <w:tcW w:w="1083" w:type="dxa"/>
            <w:tcBorders>
              <w:top w:val="single" w:sz="4" w:space="0" w:color="auto"/>
              <w:left w:val="single" w:sz="4" w:space="0" w:color="auto"/>
            </w:tcBorders>
          </w:tcPr>
          <w:p w14:paraId="5ED291C8" w14:textId="4C19485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30" w:type="dxa"/>
            <w:tcBorders>
              <w:top w:val="single" w:sz="4" w:space="0" w:color="auto"/>
            </w:tcBorders>
          </w:tcPr>
          <w:p w14:paraId="4F2FA017" w14:textId="17BC1E1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top w:val="single" w:sz="4" w:space="0" w:color="auto"/>
              <w:right w:val="single" w:sz="4" w:space="0" w:color="auto"/>
            </w:tcBorders>
          </w:tcPr>
          <w:p w14:paraId="711D648D" w14:textId="5B4B38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top w:val="single" w:sz="4" w:space="0" w:color="auto"/>
              <w:left w:val="single" w:sz="4" w:space="0" w:color="auto"/>
            </w:tcBorders>
          </w:tcPr>
          <w:p w14:paraId="0FA75908" w14:textId="7DB1BAC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82" w:type="dxa"/>
            <w:tcBorders>
              <w:top w:val="single" w:sz="4" w:space="0" w:color="auto"/>
            </w:tcBorders>
          </w:tcPr>
          <w:p w14:paraId="220F3949" w14:textId="09F48B3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 integration</w:t>
            </w:r>
          </w:p>
        </w:tc>
        <w:tc>
          <w:tcPr>
            <w:tcW w:w="1217" w:type="dxa"/>
            <w:tcBorders>
              <w:top w:val="single" w:sz="4" w:space="0" w:color="auto"/>
            </w:tcBorders>
          </w:tcPr>
          <w:p w14:paraId="3D1573E5" w14:textId="6A0030C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Borders>
              <w:top w:val="single" w:sz="4" w:space="0" w:color="auto"/>
            </w:tcBorders>
          </w:tcPr>
          <w:p w14:paraId="7B0BF1E1" w14:textId="7A09B48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9A0761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350A96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Anambra</w:t>
            </w:r>
          </w:p>
        </w:tc>
        <w:tc>
          <w:tcPr>
            <w:tcW w:w="1083" w:type="dxa"/>
            <w:tcBorders>
              <w:left w:val="single" w:sz="4" w:space="0" w:color="auto"/>
            </w:tcBorders>
          </w:tcPr>
          <w:p w14:paraId="687E9559" w14:textId="5F975A1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5B34707D" w14:textId="1A95DDD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05CC609A" w14:textId="2BE83C3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083" w:type="dxa"/>
            <w:tcBorders>
              <w:left w:val="single" w:sz="4" w:space="0" w:color="auto"/>
            </w:tcBorders>
          </w:tcPr>
          <w:p w14:paraId="0CA2AAB9" w14:textId="2EF764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77C2637" w14:textId="0CD2717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50D2EFDC" w14:textId="3FA0687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630" w:type="dxa"/>
          </w:tcPr>
          <w:p w14:paraId="4748A9A2" w14:textId="1C67B47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r>
      <w:tr w:rsidR="001B2F9B" w:rsidRPr="00374D49" w14:paraId="41466896"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BDFC3E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Bauchi</w:t>
            </w:r>
          </w:p>
        </w:tc>
        <w:tc>
          <w:tcPr>
            <w:tcW w:w="1083" w:type="dxa"/>
            <w:tcBorders>
              <w:left w:val="single" w:sz="4" w:space="0" w:color="auto"/>
            </w:tcBorders>
          </w:tcPr>
          <w:p w14:paraId="426A2897" w14:textId="4D7E369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7DA3F5E1" w14:textId="79447CA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61CAE74" w14:textId="04AA736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5D5967" w14:textId="7EAF651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493BA646" w14:textId="43DC0D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1066ADD0" w14:textId="195A67B7"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E26CAFF" w14:textId="6D36813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432BA5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5271510"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Bayelsa</w:t>
            </w:r>
          </w:p>
        </w:tc>
        <w:tc>
          <w:tcPr>
            <w:tcW w:w="1083" w:type="dxa"/>
            <w:tcBorders>
              <w:left w:val="single" w:sz="4" w:space="0" w:color="auto"/>
            </w:tcBorders>
          </w:tcPr>
          <w:p w14:paraId="075FE719" w14:textId="67D58CA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5316D39" w14:textId="7E2E7D8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5437CD97" w14:textId="77DCC6A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BD7084C" w14:textId="57D55B0E"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36641C6" w14:textId="34D84CE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04F60DA5" w14:textId="6CDE395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E7615B5" w14:textId="58B96DEC"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06E47B77"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7C7478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Ebonyi</w:t>
            </w:r>
          </w:p>
        </w:tc>
        <w:tc>
          <w:tcPr>
            <w:tcW w:w="1083" w:type="dxa"/>
            <w:tcBorders>
              <w:left w:val="single" w:sz="4" w:space="0" w:color="auto"/>
            </w:tcBorders>
          </w:tcPr>
          <w:p w14:paraId="1B399659" w14:textId="5F9369F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0B4987D0" w14:textId="2F26E7D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1EEBE1E0" w14:textId="2AD76E5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5A450166" w14:textId="060460D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24539AA5" w14:textId="4B34E26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366077B2" w14:textId="06A100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2DDCB3A5" w14:textId="42E8240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F58C99B"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6613264"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lastRenderedPageBreak/>
              <w:t>FCT Abuja</w:t>
            </w:r>
          </w:p>
        </w:tc>
        <w:tc>
          <w:tcPr>
            <w:tcW w:w="1083" w:type="dxa"/>
            <w:tcBorders>
              <w:left w:val="single" w:sz="4" w:space="0" w:color="auto"/>
            </w:tcBorders>
          </w:tcPr>
          <w:p w14:paraId="59D6D59B" w14:textId="36655DC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21CD8CC1" w14:textId="68A968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659D7BBD" w14:textId="10680E8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5A0E144" w14:textId="65E6472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7EEE536" w14:textId="3A92B43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Automated</w:t>
            </w:r>
          </w:p>
        </w:tc>
        <w:tc>
          <w:tcPr>
            <w:tcW w:w="1217" w:type="dxa"/>
          </w:tcPr>
          <w:p w14:paraId="52DC3DF4" w14:textId="712883D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6641A4B6" w14:textId="153AE851"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DC02DA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C3B4A4E"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Gombe</w:t>
            </w:r>
          </w:p>
        </w:tc>
        <w:tc>
          <w:tcPr>
            <w:tcW w:w="1083" w:type="dxa"/>
            <w:tcBorders>
              <w:left w:val="single" w:sz="4" w:space="0" w:color="auto"/>
            </w:tcBorders>
          </w:tcPr>
          <w:p w14:paraId="599E43B6" w14:textId="1F41C59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279891DB" w14:textId="11BAA56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23205840" w14:textId="0FE8064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2AE652FD" w14:textId="0FED2C7D"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82" w:type="dxa"/>
          </w:tcPr>
          <w:p w14:paraId="610A6F2D" w14:textId="5AD215E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6858052F" w14:textId="6344F84E"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13CBD53C" w14:textId="7D1FB9D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23A55A6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20A309E6"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Jigawa</w:t>
            </w:r>
          </w:p>
        </w:tc>
        <w:tc>
          <w:tcPr>
            <w:tcW w:w="1083" w:type="dxa"/>
            <w:tcBorders>
              <w:left w:val="single" w:sz="4" w:space="0" w:color="auto"/>
            </w:tcBorders>
          </w:tcPr>
          <w:p w14:paraId="29BF8DEE" w14:textId="76C775D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34B4A0FA" w14:textId="539CD66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0907588" w14:textId="638EB676"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10F9ACAA" w14:textId="0D37286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5</w:t>
            </w:r>
          </w:p>
        </w:tc>
        <w:tc>
          <w:tcPr>
            <w:tcW w:w="1482" w:type="dxa"/>
          </w:tcPr>
          <w:p w14:paraId="5561A975" w14:textId="296EF0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Fully interoperable</w:t>
            </w:r>
          </w:p>
        </w:tc>
        <w:tc>
          <w:tcPr>
            <w:tcW w:w="1217" w:type="dxa"/>
          </w:tcPr>
          <w:p w14:paraId="1EAED415" w14:textId="700BB7F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340AF6A8" w14:textId="19DAA3E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51662B0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198922CB"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Nasarawa</w:t>
            </w:r>
          </w:p>
        </w:tc>
        <w:tc>
          <w:tcPr>
            <w:tcW w:w="1083" w:type="dxa"/>
            <w:tcBorders>
              <w:left w:val="single" w:sz="4" w:space="0" w:color="auto"/>
            </w:tcBorders>
          </w:tcPr>
          <w:p w14:paraId="3D087A45" w14:textId="094BF04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09478F92" w14:textId="1281A886"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195B9A1A" w14:textId="6B38AEF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6A33848D" w14:textId="434A307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5570FC66" w14:textId="286654A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6A8FB376" w14:textId="592D500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Strong</w:t>
            </w:r>
          </w:p>
        </w:tc>
        <w:tc>
          <w:tcPr>
            <w:tcW w:w="1630" w:type="dxa"/>
          </w:tcPr>
          <w:p w14:paraId="25E4B0FA" w14:textId="064622F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r w:rsidR="001B2F9B" w:rsidRPr="00374D49" w14:paraId="00E423E6"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578CAA71"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National</w:t>
            </w:r>
          </w:p>
        </w:tc>
        <w:tc>
          <w:tcPr>
            <w:tcW w:w="1083" w:type="dxa"/>
            <w:tcBorders>
              <w:left w:val="single" w:sz="4" w:space="0" w:color="auto"/>
            </w:tcBorders>
          </w:tcPr>
          <w:p w14:paraId="4A738C2A" w14:textId="75F2672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4DD4FC4D" w14:textId="382B74E0"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w:t>
            </w:r>
          </w:p>
        </w:tc>
        <w:tc>
          <w:tcPr>
            <w:tcW w:w="976" w:type="dxa"/>
            <w:tcBorders>
              <w:right w:val="single" w:sz="4" w:space="0" w:color="auto"/>
            </w:tcBorders>
          </w:tcPr>
          <w:p w14:paraId="7EDFF607" w14:textId="17F53568"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0EE657F" w14:textId="0BC2AEF3"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B8BC31" w14:textId="172B6C5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Semi-automated</w:t>
            </w:r>
          </w:p>
        </w:tc>
        <w:tc>
          <w:tcPr>
            <w:tcW w:w="1217" w:type="dxa"/>
          </w:tcPr>
          <w:p w14:paraId="3E184B70" w14:textId="1DB05B9F"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4512E4E6" w14:textId="4FDF7C39"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D56BD51"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4B41E7F3"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Osun</w:t>
            </w:r>
          </w:p>
        </w:tc>
        <w:tc>
          <w:tcPr>
            <w:tcW w:w="1083" w:type="dxa"/>
            <w:tcBorders>
              <w:left w:val="single" w:sz="4" w:space="0" w:color="auto"/>
            </w:tcBorders>
          </w:tcPr>
          <w:p w14:paraId="3A6C345D" w14:textId="3994F38C"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w:t>
            </w:r>
          </w:p>
        </w:tc>
        <w:tc>
          <w:tcPr>
            <w:tcW w:w="1430" w:type="dxa"/>
          </w:tcPr>
          <w:p w14:paraId="6421A5FB" w14:textId="655C9CC9"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2</w:t>
            </w:r>
          </w:p>
        </w:tc>
        <w:tc>
          <w:tcPr>
            <w:tcW w:w="976" w:type="dxa"/>
            <w:tcBorders>
              <w:right w:val="single" w:sz="4" w:space="0" w:color="auto"/>
            </w:tcBorders>
          </w:tcPr>
          <w:p w14:paraId="79E971FC" w14:textId="3802C97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0BC6CEA8" w14:textId="0ECDE2B8"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64F2AB1E" w14:textId="3BF7DCF1"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4C9B7E8E" w14:textId="569889FB"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0452F391" w14:textId="4CE1393F"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2FDFF74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03A9BCBF"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Oyo</w:t>
            </w:r>
          </w:p>
        </w:tc>
        <w:tc>
          <w:tcPr>
            <w:tcW w:w="1083" w:type="dxa"/>
            <w:tcBorders>
              <w:left w:val="single" w:sz="4" w:space="0" w:color="auto"/>
            </w:tcBorders>
          </w:tcPr>
          <w:p w14:paraId="21BAA9A8" w14:textId="75747D02"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30" w:type="dxa"/>
          </w:tcPr>
          <w:p w14:paraId="110B4356" w14:textId="2227DE6A"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976" w:type="dxa"/>
            <w:tcBorders>
              <w:right w:val="single" w:sz="4" w:space="0" w:color="auto"/>
            </w:tcBorders>
          </w:tcPr>
          <w:p w14:paraId="782301A5" w14:textId="175E67C5"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083" w:type="dxa"/>
            <w:tcBorders>
              <w:left w:val="single" w:sz="4" w:space="0" w:color="auto"/>
            </w:tcBorders>
          </w:tcPr>
          <w:p w14:paraId="72031B1D" w14:textId="322BA99D"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7C341141" w14:textId="7929B2E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7486F634" w14:textId="6D30C857"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78A01203" w14:textId="488D1CB4" w:rsidR="001B2F9B" w:rsidRPr="00374D49" w:rsidRDefault="001B2F9B"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r>
      <w:tr w:rsidR="001B2F9B" w:rsidRPr="00374D49" w14:paraId="7E078A0F"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203" w:type="dxa"/>
            <w:tcBorders>
              <w:right w:val="single" w:sz="4" w:space="0" w:color="auto"/>
            </w:tcBorders>
          </w:tcPr>
          <w:p w14:paraId="3E1F0257" w14:textId="77777777" w:rsidR="001B2F9B" w:rsidRPr="00374D49" w:rsidRDefault="001B2F9B" w:rsidP="00FD4A5B">
            <w:pPr>
              <w:spacing w:line="276" w:lineRule="auto"/>
              <w:jc w:val="center"/>
              <w:rPr>
                <w:rFonts w:cs="Times New Roman"/>
                <w:color w:val="000000" w:themeColor="text1"/>
                <w:szCs w:val="24"/>
              </w:rPr>
            </w:pPr>
            <w:r>
              <w:rPr>
                <w:rFonts w:cs="Times New Roman"/>
                <w:color w:val="000000" w:themeColor="text1"/>
                <w:szCs w:val="24"/>
              </w:rPr>
              <w:t>Sokoto</w:t>
            </w:r>
          </w:p>
        </w:tc>
        <w:tc>
          <w:tcPr>
            <w:tcW w:w="1083" w:type="dxa"/>
            <w:tcBorders>
              <w:left w:val="single" w:sz="4" w:space="0" w:color="auto"/>
            </w:tcBorders>
          </w:tcPr>
          <w:p w14:paraId="46A99461" w14:textId="62740F92"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430" w:type="dxa"/>
          </w:tcPr>
          <w:p w14:paraId="72AE1FBB" w14:textId="7411048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976" w:type="dxa"/>
            <w:tcBorders>
              <w:right w:val="single" w:sz="4" w:space="0" w:color="auto"/>
            </w:tcBorders>
          </w:tcPr>
          <w:p w14:paraId="1D04489D" w14:textId="0487F36A"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5</w:t>
            </w:r>
          </w:p>
        </w:tc>
        <w:tc>
          <w:tcPr>
            <w:tcW w:w="1083" w:type="dxa"/>
            <w:tcBorders>
              <w:left w:val="single" w:sz="4" w:space="0" w:color="auto"/>
            </w:tcBorders>
          </w:tcPr>
          <w:p w14:paraId="4862764B" w14:textId="15A36930"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4</w:t>
            </w:r>
          </w:p>
        </w:tc>
        <w:tc>
          <w:tcPr>
            <w:tcW w:w="1482" w:type="dxa"/>
          </w:tcPr>
          <w:p w14:paraId="0460EB20" w14:textId="336EA904"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Manual</w:t>
            </w:r>
          </w:p>
        </w:tc>
        <w:tc>
          <w:tcPr>
            <w:tcW w:w="1217" w:type="dxa"/>
          </w:tcPr>
          <w:p w14:paraId="1528CFDE" w14:textId="6B3961E3"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630" w:type="dxa"/>
          </w:tcPr>
          <w:p w14:paraId="59BB35B0" w14:textId="5EA00FC5" w:rsidR="001B2F9B" w:rsidRPr="00374D49" w:rsidRDefault="001B2F9B"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r>
    </w:tbl>
    <w:p w14:paraId="14F93B0F" w14:textId="77777777" w:rsidR="00AB33AC" w:rsidRPr="00374D49" w:rsidRDefault="00AB33AC" w:rsidP="00FD4A5B">
      <w:pPr>
        <w:spacing w:before="40" w:after="200" w:line="276" w:lineRule="auto"/>
        <w:jc w:val="center"/>
        <w:rPr>
          <w:rFonts w:cs="Times New Roman"/>
          <w:i/>
          <w:iCs/>
          <w:color w:val="000000" w:themeColor="text1"/>
          <w:sz w:val="16"/>
          <w:szCs w:val="16"/>
        </w:rPr>
      </w:pPr>
    </w:p>
    <w:p w14:paraId="02485B96" w14:textId="366DA252" w:rsidR="00DA377E" w:rsidRPr="00374D49" w:rsidRDefault="001B2F9B" w:rsidP="00FD4A5B">
      <w:pPr>
        <w:spacing w:before="40" w:after="200" w:line="276" w:lineRule="auto"/>
        <w:jc w:val="both"/>
        <w:rPr>
          <w:rFonts w:cs="Times New Roman"/>
          <w:color w:val="000000" w:themeColor="text1"/>
          <w:sz w:val="16"/>
          <w:szCs w:val="16"/>
        </w:rPr>
      </w:pPr>
      <w:r>
        <w:rPr>
          <w:rFonts w:cs="Times New Roman"/>
          <w:i/>
          <w:iCs/>
          <w:color w:val="000000" w:themeColor="text1"/>
          <w:sz w:val="16"/>
          <w:szCs w:val="16"/>
        </w:rPr>
        <w:t>Capacity scores are reported on a 1–5 scale, with higher values indicating stronger capacity. Systems integration categories are: No integration, Manual, Semi-automated, Automated, and Fully interoperable. Data standards categories are Strong, Moderate, and Weak. Infrastructure adequacy categories are Yes, Partially, and No.</w:t>
      </w:r>
    </w:p>
    <w:p w14:paraId="2A71F8AA" w14:textId="77777777" w:rsidR="00AB33AC" w:rsidRPr="00374D49" w:rsidRDefault="00AB33AC" w:rsidP="00FD4A5B">
      <w:pPr>
        <w:spacing w:before="120" w:after="100" w:line="276" w:lineRule="auto"/>
        <w:jc w:val="both"/>
        <w:rPr>
          <w:rFonts w:cs="Times New Roman"/>
          <w:b/>
          <w:bCs/>
          <w:color w:val="000000" w:themeColor="text1"/>
          <w:szCs w:val="24"/>
        </w:rPr>
      </w:pPr>
    </w:p>
    <w:p w14:paraId="2CEE3FF7" w14:textId="6B4CBD8D" w:rsidR="00DA377E" w:rsidRPr="00374D49" w:rsidRDefault="00DA377E" w:rsidP="00FD4A5B">
      <w:pPr>
        <w:spacing w:before="120" w:after="100" w:line="276" w:lineRule="auto"/>
        <w:jc w:val="both"/>
        <w:rPr>
          <w:rFonts w:cs="Times New Roman"/>
          <w:color w:val="000000" w:themeColor="text1"/>
          <w:szCs w:val="24"/>
        </w:rPr>
      </w:pPr>
      <w:r>
        <w:rPr>
          <w:rFonts w:cs="Times New Roman"/>
          <w:b/>
          <w:bCs/>
          <w:color w:val="000000" w:themeColor="text1"/>
          <w:szCs w:val="24"/>
        </w:rPr>
        <w:t>Overall Modelling Readiness</w:t>
      </w:r>
    </w:p>
    <w:p w14:paraId="4B18C298" w14:textId="222A25A6" w:rsidR="00DA377E" w:rsidRPr="00374D49" w:rsidRDefault="00794C99" w:rsidP="00FD4A5B">
      <w:pPr>
        <w:spacing w:after="140" w:line="276" w:lineRule="auto"/>
        <w:jc w:val="both"/>
        <w:rPr>
          <w:rFonts w:cs="Times New Roman"/>
          <w:color w:val="000000" w:themeColor="text1"/>
          <w:szCs w:val="24"/>
        </w:rPr>
      </w:pPr>
      <w:r>
        <w:rPr>
          <w:rFonts w:cs="Times New Roman"/>
          <w:color w:val="000000" w:themeColor="text1"/>
          <w:szCs w:val="24"/>
        </w:rPr>
        <w:t>Overall system readiness was predominantly moderate: ten units were classified as moderate, Nassarawa was classified as strong, and Akwa Ibom and Anambra were classified as weak. Systems integration ranged from no integration in Akwa Ibom to fully interoperable in Jigawa. Data standards were moderate in eleven units, strong in Nassarawa, and weak in Anambra. Infrastructure was assessed as adequate in six units (Bauchi, FCT Abuja, Gombe, Jigawa, Nassarawa, and Sokoto), partially adequate in five (Bayelsa, Ebonyi, National, Osun, and Oyo), and inadequate in two (Akwa Ibom and Anambra). Estimated time to modelling readiness was 3–6 months in five units, 6–9 months in three, 9–12 months in three, and more than 12 months in two units (Ebonyi and Jigawa).</w:t>
      </w:r>
    </w:p>
    <w:p w14:paraId="56064A14" w14:textId="77777777" w:rsidR="001B6209" w:rsidRPr="00374D49" w:rsidRDefault="001B6209" w:rsidP="00FD4A5B">
      <w:pPr>
        <w:pStyle w:val="MyTables"/>
        <w:spacing w:line="276" w:lineRule="auto"/>
      </w:pPr>
    </w:p>
    <w:p w14:paraId="5BF5801E" w14:textId="1C754D4C" w:rsidR="00AB33AC" w:rsidRPr="00374D49" w:rsidRDefault="00AB33AC" w:rsidP="00FD4A5B">
      <w:pPr>
        <w:pStyle w:val="MyTables"/>
        <w:keepNext/>
        <w:spacing w:line="276" w:lineRule="auto"/>
      </w:pPr>
      <w:bookmarkStart w:id="124" w:name="_Toc242407981"/>
      <w:r>
        <w:t>Table 11. Overall Capacity, Systems Readiness, And Estimated Time to Modelling Readiness by Unit.</w:t>
      </w:r>
      <w:bookmarkEnd w:id="124"/>
    </w:p>
    <w:tbl>
      <w:tblPr>
        <w:tblStyle w:val="PlainTable5"/>
        <w:tblW w:w="9360" w:type="dxa"/>
        <w:jc w:val="center"/>
        <w:tblLook w:val="04A0" w:firstRow="1" w:lastRow="0" w:firstColumn="1" w:lastColumn="0" w:noHBand="0" w:noVBand="1"/>
      </w:tblPr>
      <w:tblGrid>
        <w:gridCol w:w="1419"/>
        <w:gridCol w:w="1095"/>
        <w:gridCol w:w="1422"/>
        <w:gridCol w:w="1477"/>
        <w:gridCol w:w="1136"/>
        <w:gridCol w:w="1030"/>
        <w:gridCol w:w="1781"/>
      </w:tblGrid>
      <w:tr w:rsidR="00203D70" w:rsidRPr="00374D49" w14:paraId="4171AC2E"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452" w:type="dxa"/>
          </w:tcPr>
          <w:p w14:paraId="0FEE263A"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1097" w:type="dxa"/>
          </w:tcPr>
          <w:p w14:paraId="3E3D2CDA"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Capacity</w:t>
            </w:r>
          </w:p>
        </w:tc>
        <w:tc>
          <w:tcPr>
            <w:tcW w:w="1454" w:type="dxa"/>
          </w:tcPr>
          <w:p w14:paraId="4BEE805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Readiness level</w:t>
            </w:r>
          </w:p>
        </w:tc>
        <w:tc>
          <w:tcPr>
            <w:tcW w:w="1527" w:type="dxa"/>
          </w:tcPr>
          <w:p w14:paraId="17BF291C"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Systems readiness</w:t>
            </w:r>
          </w:p>
        </w:tc>
        <w:tc>
          <w:tcPr>
            <w:tcW w:w="1136" w:type="dxa"/>
          </w:tcPr>
          <w:p w14:paraId="1B98C8ED"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Data std.</w:t>
            </w:r>
          </w:p>
        </w:tc>
        <w:tc>
          <w:tcPr>
            <w:tcW w:w="816" w:type="dxa"/>
          </w:tcPr>
          <w:p w14:paraId="4F60F6F3"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Infra.</w:t>
            </w:r>
          </w:p>
        </w:tc>
        <w:tc>
          <w:tcPr>
            <w:tcW w:w="1878" w:type="dxa"/>
          </w:tcPr>
          <w:p w14:paraId="55EEB3B9" w14:textId="77777777" w:rsidR="00DA377E" w:rsidRPr="00374D49" w:rsidRDefault="00DA377E" w:rsidP="00FD4A5B">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Time to readiness</w:t>
            </w:r>
          </w:p>
        </w:tc>
      </w:tr>
      <w:tr w:rsidR="00DA0F70" w:rsidRPr="00374D49" w14:paraId="5997112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0E730B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1097" w:type="dxa"/>
          </w:tcPr>
          <w:p w14:paraId="00457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03C66EE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6E997DCA" w14:textId="3AC003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117BAFD9" w14:textId="246C925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5115D619" w14:textId="6BF5F53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4DC354BF" w14:textId="466E958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B59BC2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37A095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1097" w:type="dxa"/>
          </w:tcPr>
          <w:p w14:paraId="4BC538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680ED3A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BDB2934" w14:textId="793AA0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1136" w:type="dxa"/>
          </w:tcPr>
          <w:p w14:paraId="41C880D0" w14:textId="107E5F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Weak</w:t>
            </w:r>
          </w:p>
        </w:tc>
        <w:tc>
          <w:tcPr>
            <w:tcW w:w="816" w:type="dxa"/>
          </w:tcPr>
          <w:p w14:paraId="44028BFF" w14:textId="33CE950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No</w:t>
            </w:r>
          </w:p>
        </w:tc>
        <w:tc>
          <w:tcPr>
            <w:tcW w:w="1878" w:type="dxa"/>
          </w:tcPr>
          <w:p w14:paraId="30C186B6" w14:textId="76FF9EC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035D0E5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C92E075"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1097" w:type="dxa"/>
          </w:tcPr>
          <w:p w14:paraId="79B9B14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3D21920"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0E1ACD0D" w14:textId="263D0F5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3918D5" w14:textId="1742706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6A7A6431" w14:textId="74E9079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74628A35" w14:textId="0C8450E8"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550E5BA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3FCCA0C"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1097" w:type="dxa"/>
          </w:tcPr>
          <w:p w14:paraId="33DFF40B"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1A220F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3D85F54" w14:textId="30B81402"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ECDF60E" w14:textId="62B18D6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E653714" w14:textId="6568EB5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5BFEB263" w14:textId="3CDC2E6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6498821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DFE24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1097" w:type="dxa"/>
          </w:tcPr>
          <w:p w14:paraId="01F87CE3"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34DBC1B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6DA28A1A" w14:textId="736F0A26"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F990062" w14:textId="716B395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BB069AB" w14:textId="683C340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9D2BC8F" w14:textId="7730B5B0"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50484E2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9C41C9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FCT Abuja</w:t>
            </w:r>
          </w:p>
        </w:tc>
        <w:tc>
          <w:tcPr>
            <w:tcW w:w="1097" w:type="dxa"/>
          </w:tcPr>
          <w:p w14:paraId="03891A4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3DC1FEB1"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654B187" w14:textId="4A503C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0A2B7119" w14:textId="7C3EEC1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3F9E7285" w14:textId="7661A36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3C9C3920" w14:textId="63183AEF"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3–6 months</w:t>
            </w:r>
          </w:p>
        </w:tc>
      </w:tr>
      <w:tr w:rsidR="00DA0F70" w:rsidRPr="00374D49" w14:paraId="38C9B973"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0EBEE1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lastRenderedPageBreak/>
              <w:t>Gombe</w:t>
            </w:r>
          </w:p>
        </w:tc>
        <w:tc>
          <w:tcPr>
            <w:tcW w:w="1097" w:type="dxa"/>
          </w:tcPr>
          <w:p w14:paraId="761A993C"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757596A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3B221DE0" w14:textId="5D4DBC23"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26E0E8AD" w14:textId="262732B4"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D4B0792" w14:textId="718EA78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626E33E5" w14:textId="2EFE13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227030D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DDC41C7"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1097" w:type="dxa"/>
          </w:tcPr>
          <w:p w14:paraId="75D4305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684EF9D4"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38D328D6" w14:textId="0E273594"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17D26606" w14:textId="12D7C5E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DA0A435" w14:textId="77FA736C"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16C86FA8" w14:textId="76AAE2AE"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12+ months</w:t>
            </w:r>
          </w:p>
        </w:tc>
      </w:tr>
      <w:tr w:rsidR="00DA0F70" w:rsidRPr="00374D49" w14:paraId="7B356854"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50D588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1097" w:type="dxa"/>
          </w:tcPr>
          <w:p w14:paraId="2C0B13E2"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400685D7"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5549608C" w14:textId="3DE9380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1136" w:type="dxa"/>
          </w:tcPr>
          <w:p w14:paraId="7B09B3B9" w14:textId="0B1D56BC"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Strong</w:t>
            </w:r>
          </w:p>
        </w:tc>
        <w:tc>
          <w:tcPr>
            <w:tcW w:w="816" w:type="dxa"/>
          </w:tcPr>
          <w:p w14:paraId="3E40AA61" w14:textId="2EFB3281"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1D533EA" w14:textId="34A255C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3BC224C0"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4AF053EE"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National</w:t>
            </w:r>
          </w:p>
        </w:tc>
        <w:tc>
          <w:tcPr>
            <w:tcW w:w="1097" w:type="dxa"/>
          </w:tcPr>
          <w:p w14:paraId="00D09D38"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5E2C12F5"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5BE021E3" w14:textId="7216F3F8"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4080E173" w14:textId="14CC9B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2B55C668" w14:textId="617D66D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14A93E27" w14:textId="1428B2FD"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23E0FB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2208B7A3"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1097" w:type="dxa"/>
          </w:tcPr>
          <w:p w14:paraId="4379B28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3</w:t>
            </w:r>
          </w:p>
        </w:tc>
        <w:tc>
          <w:tcPr>
            <w:tcW w:w="1454" w:type="dxa"/>
          </w:tcPr>
          <w:p w14:paraId="2EC35F88"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Moderate</w:t>
            </w:r>
          </w:p>
        </w:tc>
        <w:tc>
          <w:tcPr>
            <w:tcW w:w="1527" w:type="dxa"/>
          </w:tcPr>
          <w:p w14:paraId="1834A080" w14:textId="408087CA"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35FE1BE7" w14:textId="08ADDEF5"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708138BE" w14:textId="3D36611B"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286ACA56" w14:textId="2F60B929"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6–9 months</w:t>
            </w:r>
          </w:p>
        </w:tc>
      </w:tr>
      <w:tr w:rsidR="00DA0F70" w:rsidRPr="00374D49" w14:paraId="622AA84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09257759"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Oyo</w:t>
            </w:r>
          </w:p>
        </w:tc>
        <w:tc>
          <w:tcPr>
            <w:tcW w:w="1097" w:type="dxa"/>
          </w:tcPr>
          <w:p w14:paraId="7D6038F7"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4</w:t>
            </w:r>
          </w:p>
        </w:tc>
        <w:tc>
          <w:tcPr>
            <w:tcW w:w="1454" w:type="dxa"/>
          </w:tcPr>
          <w:p w14:paraId="6F765F4D" w14:textId="77777777"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2B330BAE" w14:textId="201CF355"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6053CBAE" w14:textId="23EFB110"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09B9B844" w14:textId="07A9FF91"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Partially</w:t>
            </w:r>
          </w:p>
        </w:tc>
        <w:tc>
          <w:tcPr>
            <w:tcW w:w="1878" w:type="dxa"/>
          </w:tcPr>
          <w:p w14:paraId="34DECB51" w14:textId="644C9059" w:rsidR="00DA0F70" w:rsidRPr="00374D49" w:rsidRDefault="00DA0F70" w:rsidP="00FD4A5B">
            <w:pPr>
              <w:spacing w:line="276"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rPr>
              <w:t>9–12 months</w:t>
            </w:r>
          </w:p>
        </w:tc>
      </w:tr>
      <w:tr w:rsidR="00DA0F70" w:rsidRPr="00374D49" w14:paraId="0084DF2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452" w:type="dxa"/>
          </w:tcPr>
          <w:p w14:paraId="1985D0E8" w14:textId="77777777" w:rsidR="00DA0F70" w:rsidRPr="00374D49" w:rsidRDefault="00DA0F70" w:rsidP="00FD4A5B">
            <w:pPr>
              <w:spacing w:line="276" w:lineRule="auto"/>
              <w:jc w:val="both"/>
              <w:rPr>
                <w:rFonts w:cs="Times New Roman"/>
                <w:color w:val="000000" w:themeColor="text1"/>
                <w:szCs w:val="24"/>
              </w:rPr>
            </w:pPr>
            <w:r>
              <w:rPr>
                <w:rFonts w:cs="Times New Roman"/>
                <w:color w:val="000000" w:themeColor="text1"/>
                <w:szCs w:val="24"/>
              </w:rPr>
              <w:t>Sokoto</w:t>
            </w:r>
          </w:p>
        </w:tc>
        <w:tc>
          <w:tcPr>
            <w:tcW w:w="1097" w:type="dxa"/>
          </w:tcPr>
          <w:p w14:paraId="3DAC2175"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5</w:t>
            </w:r>
          </w:p>
        </w:tc>
        <w:tc>
          <w:tcPr>
            <w:tcW w:w="1454" w:type="dxa"/>
          </w:tcPr>
          <w:p w14:paraId="0F8C62CB" w14:textId="77777777"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w:t>
            </w:r>
          </w:p>
        </w:tc>
        <w:tc>
          <w:tcPr>
            <w:tcW w:w="1527" w:type="dxa"/>
          </w:tcPr>
          <w:p w14:paraId="17B6BEB2" w14:textId="1F58D5DE"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1136" w:type="dxa"/>
          </w:tcPr>
          <w:p w14:paraId="58BE67F0" w14:textId="691D7712"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Moderate</w:t>
            </w:r>
          </w:p>
        </w:tc>
        <w:tc>
          <w:tcPr>
            <w:tcW w:w="816" w:type="dxa"/>
          </w:tcPr>
          <w:p w14:paraId="1BA641A6" w14:textId="57C7AC4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Yes</w:t>
            </w:r>
          </w:p>
        </w:tc>
        <w:tc>
          <w:tcPr>
            <w:tcW w:w="1878" w:type="dxa"/>
          </w:tcPr>
          <w:p w14:paraId="54314084" w14:textId="0FAD8C6F" w:rsidR="00DA0F70" w:rsidRPr="00374D49" w:rsidRDefault="00DA0F70" w:rsidP="00FD4A5B">
            <w:pPr>
              <w:spacing w:line="276"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rPr>
              <w:t>3–6 months</w:t>
            </w:r>
          </w:p>
        </w:tc>
      </w:tr>
    </w:tbl>
    <w:p w14:paraId="6A08DC96" w14:textId="77777777" w:rsidR="00AB33AC" w:rsidRPr="00374D49" w:rsidRDefault="00AB33AC" w:rsidP="00FD4A5B">
      <w:pPr>
        <w:spacing w:before="40" w:after="0" w:line="276" w:lineRule="auto"/>
        <w:jc w:val="both"/>
        <w:rPr>
          <w:rFonts w:cs="Times New Roman"/>
          <w:i/>
          <w:iCs/>
          <w:color w:val="000000" w:themeColor="text1"/>
          <w:sz w:val="16"/>
          <w:szCs w:val="16"/>
        </w:rPr>
      </w:pPr>
    </w:p>
    <w:p w14:paraId="258130AB" w14:textId="192D7BD2" w:rsidR="00E12035" w:rsidRPr="00374D49" w:rsidRDefault="00E12035" w:rsidP="00FD4A5B">
      <w:pPr>
        <w:spacing w:line="276" w:lineRule="auto"/>
        <w:rPr>
          <w:rFonts w:cs="Times New Roman"/>
          <w:i/>
          <w:iCs/>
          <w:sz w:val="18"/>
          <w:szCs w:val="16"/>
        </w:rPr>
      </w:pPr>
      <w:bookmarkStart w:id="125" w:name="_Toc233107597"/>
      <w:r>
        <w:rPr>
          <w:rFonts w:cs="Times New Roman"/>
          <w:i/>
          <w:iCs/>
          <w:sz w:val="18"/>
          <w:szCs w:val="16"/>
        </w:rPr>
        <w:t>High (&gt;3.5), Moderate (2.5–3.5), Low (&lt;2.5).</w:t>
      </w:r>
    </w:p>
    <w:p w14:paraId="32B13A17" w14:textId="6D2AFEE3" w:rsidR="00DA377E" w:rsidRPr="00374D49" w:rsidRDefault="00AB33AC" w:rsidP="00FD4A5B">
      <w:pPr>
        <w:pStyle w:val="Heading3"/>
        <w:spacing w:line="276" w:lineRule="auto"/>
        <w:jc w:val="both"/>
        <w:rPr>
          <w:rFonts w:cs="Times New Roman"/>
        </w:rPr>
      </w:pPr>
      <w:bookmarkStart w:id="126" w:name="_Toc242407939"/>
      <w:r>
        <w:rPr>
          <w:rFonts w:cs="Times New Roman"/>
        </w:rPr>
        <w:t>6.2.2 Qualitative Findings (Endline)</w:t>
      </w:r>
      <w:bookmarkEnd w:id="125"/>
      <w:bookmarkEnd w:id="126"/>
    </w:p>
    <w:p w14:paraId="540E50F7" w14:textId="77DE7E8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endline qualitative findings draw on key-informant interviews at the national level (NPHCDA Planning, Research &amp; Statistics) and across twelve administrative units, organized under the same themes used at baseline, so the two rounds read side by side. National findings are presented in full because they carry the most technically grounded account and the clearest new endline evidence; state findings are then synthesized thematically, with a state-by-state summary table.</w:t>
      </w:r>
    </w:p>
    <w:p w14:paraId="4444EEA8" w14:textId="548D3E57" w:rsidR="00DA377E" w:rsidRPr="00374D49" w:rsidRDefault="00AB33AC" w:rsidP="00FD4A5B">
      <w:pPr>
        <w:pStyle w:val="Heading4"/>
        <w:spacing w:line="276" w:lineRule="auto"/>
      </w:pPr>
      <w:r>
        <w:t>6.2.2.1 National-level findings</w:t>
      </w:r>
    </w:p>
    <w:p w14:paraId="238479CD" w14:textId="5033AD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Data Systems, Infrastructure, and Governance. </w:t>
      </w:r>
    </w:p>
    <w:p w14:paraId="2C416DFD" w14:textId="3817529F"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DHIS2 remains the central national data system, with the established facility-to-LGA-to-national reporting pathway unchanged since baseline. What has changed is the growing use of parallel streams alongside routine reporting: campaign tools, SMS same-day reporting in some states, and integrated supportive-supervision checklists, which are increasingly triangulated rather than treated as a single source of truth. Governance has advanced meaningfully: an emerging formal architecture under the Digital Innovation Hub (DIH) 'blueprint' now includes a data-sharing agreement, credential-based access, and multi-level authorisation, with active liaison with NITDA and the Nigeria Data Protection Commission, a shift from internal agency policy toward alignment with national data-protection law.</w:t>
      </w:r>
    </w:p>
    <w:p w14:paraId="65254572" w14:textId="799A8EFD"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Staff Capacity In Data Analytics</w:t>
      </w:r>
    </w:p>
    <w:p w14:paraId="61E60BA4" w14:textId="5D1D82E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 rated overall advanced analytics capability at about 6 out of 10, distinguishing widespread general ICT skills from the scarcer ability to apply them in an epidemiological context. Around 12–15 staff are proficient in visualisation tools (Power BI, geospatial, Excel, ODK), narrowing to roughly five with modelling-related capability within the routine-immunisation unit, supported by partners. A new endline signal is the spontaneous emergence of AI tools as self-directed staff learning, both an opportunity (latent motivation to upskill) and a risk (unstructured self-learning without epidemiological grounding).</w:t>
      </w:r>
    </w:p>
    <w:p w14:paraId="51597BA0" w14:textId="77777777" w:rsidR="00DA377E" w:rsidRPr="00374D49" w:rsidRDefault="00DA377E" w:rsidP="00FD4A5B">
      <w:pPr>
        <w:pBdr>
          <w:left w:val="single" w:sz="18" w:space="19"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“Most people might know how to use Python, but applying it in the context of epidemiology and public health might be the issue.” </w:t>
      </w:r>
      <w:r>
        <w:rPr>
          <w:rFonts w:cs="Times New Roman"/>
          <w:color w:val="000000" w:themeColor="text1"/>
          <w:szCs w:val="24"/>
        </w:rPr>
        <w:t>— M&amp;E Officer, NPHCDA PRS (National)</w:t>
      </w:r>
    </w:p>
    <w:p w14:paraId="729E8334" w14:textId="77777777" w:rsidR="00AB33AC" w:rsidRPr="00374D49" w:rsidRDefault="00AB33AC" w:rsidP="00FD4A5B">
      <w:pPr>
        <w:spacing w:before="80" w:after="60" w:line="276" w:lineRule="auto"/>
        <w:jc w:val="both"/>
        <w:rPr>
          <w:rFonts w:cs="Times New Roman"/>
          <w:b/>
          <w:bCs/>
          <w:color w:val="000000" w:themeColor="text1"/>
          <w:szCs w:val="24"/>
        </w:rPr>
      </w:pPr>
    </w:p>
    <w:p w14:paraId="70E89C4A" w14:textId="442A29FE"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lastRenderedPageBreak/>
        <w:t>Data Quality</w:t>
      </w:r>
    </w:p>
    <w:p w14:paraId="26C0A3B1" w14:textId="7B493254"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dominant issue remains denominator instability, now described with greater analytical clarity: several states have repeatedly been flagged for implausible coverage above 100% (reaching 125–130%), sometimes alongside disease outbreaks, raising data-integrity concerns. In response, the national team tracks absolute numbers of children immunised month-on-month where population estimates are unreliable, rather than relying on coverage percentages. Two further developments are new at endline: an Identify-Enumerate-Vaccinate (IEV) case-based physical enumeration across 14 states as a denominator-correction mechanism, and DHIS2 validation rules embedded directly in the system that flag quality issues at the point of entry, a more mature, less supervision-dependent quality architecture than at baseline.</w:t>
      </w:r>
    </w:p>
    <w:p w14:paraId="49D34460" w14:textId="77777777" w:rsidR="00AB33AC" w:rsidRPr="00374D49" w:rsidRDefault="00AB33AC" w:rsidP="00FD4A5B">
      <w:pPr>
        <w:spacing w:before="80" w:after="60" w:line="276" w:lineRule="auto"/>
        <w:jc w:val="both"/>
        <w:rPr>
          <w:rFonts w:cs="Times New Roman"/>
          <w:b/>
          <w:bCs/>
          <w:color w:val="000000" w:themeColor="text1"/>
          <w:szCs w:val="24"/>
        </w:rPr>
      </w:pPr>
    </w:p>
    <w:p w14:paraId="47548ADA" w14:textId="618BFB9B"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Use of Data and Modelling-Informed Planning </w:t>
      </w:r>
    </w:p>
    <w:p w14:paraId="115FA6F6" w14:textId="38021135"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 structured monthly analytical cycle tracks antigen-specific coverage, session-frequency compliance, dropout, stockouts, supervision, and zero-dose burden. The most concrete evidence of an iterative, modelling-informed planning cycle is the active reprioritisation of the 100 zero-dose LGAs: an eight-month intervention plan was rolled out against the original modelling-identified list, an evaluation has been conducted, and the agency is now determining whether the list should be revised against updated data.</w:t>
      </w:r>
    </w:p>
    <w:p w14:paraId="0846C5AB" w14:textId="77777777" w:rsidR="00AB33AC" w:rsidRPr="00374D49" w:rsidRDefault="00AB33AC" w:rsidP="00FD4A5B">
      <w:pPr>
        <w:spacing w:before="80" w:after="60" w:line="276" w:lineRule="auto"/>
        <w:jc w:val="both"/>
        <w:rPr>
          <w:rFonts w:cs="Times New Roman"/>
          <w:b/>
          <w:bCs/>
          <w:color w:val="000000" w:themeColor="text1"/>
          <w:szCs w:val="24"/>
        </w:rPr>
      </w:pPr>
    </w:p>
    <w:p w14:paraId="1D94F613" w14:textId="1287B3C9"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Predictive Modelling Awareness, Readiness, and Confirmed Use </w:t>
      </w:r>
    </w:p>
    <w:p w14:paraId="76B0EE0C" w14:textId="302DB52D"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national respondent gave the most technically precise account in the assessment, defining predictive modelling accurately as time-bound forecasting from historical data. Critically, and unlike every state-level respondent, he confirmed that modelling has already been used operationally for target-population estimation across recent campaign rounds and, most significantly, as the main analytical tool in the original identification of the 100 zero-dose LGAs. This capability still depends heavily on external partners rather than internal staff, and engagement is largely driven by individual interest rather than institutional requirement. He also gave the most detailed DIH account: ECHIS for community data, a facility EMR to replace paper registers, and infrastructure modernisation, with modelling and analytics embedded as a core DIH function rather than a separate activity.</w:t>
      </w:r>
    </w:p>
    <w:p w14:paraId="7CA93692"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“For zero-dose, for the first time, modelling was the only tool used to do that. But the modelling capacity within the agency is limited, so most of the time it has been outsourced.” </w:t>
      </w:r>
      <w:r>
        <w:rPr>
          <w:rFonts w:cs="Times New Roman"/>
          <w:color w:val="000000" w:themeColor="text1"/>
          <w:szCs w:val="24"/>
        </w:rPr>
        <w:t>— M&amp;E Officer, NPHCDA PRS (National)</w:t>
      </w:r>
    </w:p>
    <w:p w14:paraId="1C4D9D2B" w14:textId="77777777" w:rsidR="003504C3" w:rsidRPr="00374D49" w:rsidRDefault="003504C3" w:rsidP="00FD4A5B">
      <w:pPr>
        <w:spacing w:before="80" w:after="60" w:line="276" w:lineRule="auto"/>
        <w:jc w:val="both"/>
        <w:rPr>
          <w:rFonts w:cs="Times New Roman"/>
          <w:b/>
          <w:bCs/>
          <w:color w:val="000000" w:themeColor="text1"/>
          <w:szCs w:val="24"/>
        </w:rPr>
      </w:pPr>
    </w:p>
    <w:p w14:paraId="029F74C1" w14:textId="07A55DB2"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Barriers To Sustaining Modelling </w:t>
      </w:r>
    </w:p>
    <w:p w14:paraId="3A4ED160" w14:textId="04116F90"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 xml:space="preserve">The barrier analysis distinguished three levels with unusual precision. First, a technical-to-public-health translation gap: proficiency in Python or geospatial tools does not guarantee the epidemiological understanding needed to apply them correctly. Second, training depth: short two-to-three-week trainings produce only surface understanding, with at least two months of intensive, disease-specific training recommended. Third, and most distinctive, organisational </w:t>
      </w:r>
      <w:r>
        <w:rPr>
          <w:rFonts w:cs="Times New Roman"/>
          <w:color w:val="000000" w:themeColor="text1"/>
          <w:szCs w:val="24"/>
        </w:rPr>
        <w:lastRenderedPageBreak/>
        <w:t>tasking: even well-trained staff lose skills unless leadership assigns specific modelling responsibilities and follows up. A further new barrier is data sufficiency; routinely collected data is not always structured or granular enough to support modelling, making readiness a data-architecture question the DIH is intended to address.</w:t>
      </w:r>
    </w:p>
    <w:p w14:paraId="7CC331BB" w14:textId="77777777" w:rsidR="00DA377E" w:rsidRPr="00374D49" w:rsidRDefault="00DA377E" w:rsidP="00FD4A5B">
      <w:pPr>
        <w:pBdr>
          <w:left w:val="single" w:sz="18" w:space="10" w:color="9DB2CE"/>
        </w:pBdr>
        <w:spacing w:before="60" w:after="140" w:line="276" w:lineRule="auto"/>
        <w:ind w:left="420" w:right="300"/>
        <w:jc w:val="both"/>
        <w:rPr>
          <w:rFonts w:cs="Times New Roman"/>
          <w:color w:val="000000" w:themeColor="text1"/>
          <w:szCs w:val="24"/>
        </w:rPr>
      </w:pPr>
      <w:r>
        <w:rPr>
          <w:rFonts w:cs="Times New Roman"/>
          <w:i/>
          <w:iCs/>
          <w:color w:val="000000" w:themeColor="text1"/>
          <w:szCs w:val="24"/>
        </w:rPr>
        <w:t xml:space="preserve">“Somebody might have the modelling skills, but nobody is giving him any task that will kick off his modelling capability.” </w:t>
      </w:r>
      <w:r>
        <w:rPr>
          <w:rFonts w:cs="Times New Roman"/>
          <w:color w:val="000000" w:themeColor="text1"/>
          <w:szCs w:val="24"/>
        </w:rPr>
        <w:t>— M&amp;E Officer, NPHCDA PRS (National)</w:t>
      </w:r>
    </w:p>
    <w:p w14:paraId="6E4C3E09" w14:textId="77777777" w:rsidR="00396E14" w:rsidRPr="00374D49" w:rsidRDefault="00396E14" w:rsidP="00FD4A5B">
      <w:pPr>
        <w:spacing w:before="80" w:after="60" w:line="276" w:lineRule="auto"/>
        <w:jc w:val="both"/>
        <w:rPr>
          <w:rFonts w:cs="Times New Roman"/>
          <w:b/>
          <w:bCs/>
          <w:color w:val="000000" w:themeColor="text1"/>
          <w:szCs w:val="24"/>
        </w:rPr>
      </w:pPr>
    </w:p>
    <w:p w14:paraId="6757CC51" w14:textId="0AAC12B4" w:rsidR="00DA377E" w:rsidRPr="00374D49" w:rsidRDefault="00DA377E" w:rsidP="00FD4A5B">
      <w:pPr>
        <w:spacing w:before="80" w:after="60" w:line="276" w:lineRule="auto"/>
        <w:jc w:val="both"/>
        <w:rPr>
          <w:rFonts w:cs="Times New Roman"/>
          <w:color w:val="000000" w:themeColor="text1"/>
          <w:szCs w:val="24"/>
        </w:rPr>
      </w:pPr>
      <w:r>
        <w:rPr>
          <w:rFonts w:cs="Times New Roman"/>
          <w:b/>
          <w:bCs/>
          <w:color w:val="000000" w:themeColor="text1"/>
          <w:szCs w:val="24"/>
        </w:rPr>
        <w:t xml:space="preserve">Governance And Recommendations (National) </w:t>
      </w:r>
    </w:p>
    <w:p w14:paraId="2E462328" w14:textId="2BF1952C"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The respondent's recommendations were the most structured in the assessment, organised around four conditions: select a small group of genuinely interested individuals rather than broad, shallow training; use simple, well-scoped data templates and a jointly developed worked example; provide sustained post-training mentorship with regular follow-up; and ensure leadership-level supervision of modelling work as the accountability mechanism that turns training into sustained practice.</w:t>
      </w:r>
    </w:p>
    <w:p w14:paraId="3521CD35" w14:textId="77777777" w:rsidR="00396E14" w:rsidRPr="00374D49" w:rsidRDefault="00396E14" w:rsidP="00FD4A5B">
      <w:pPr>
        <w:spacing w:before="140" w:after="80" w:line="276" w:lineRule="auto"/>
        <w:jc w:val="both"/>
        <w:rPr>
          <w:rFonts w:cs="Times New Roman"/>
          <w:b/>
          <w:bCs/>
          <w:color w:val="000000" w:themeColor="text1"/>
          <w:szCs w:val="24"/>
        </w:rPr>
      </w:pPr>
    </w:p>
    <w:p w14:paraId="53BF864E" w14:textId="23DCE7DB" w:rsidR="00DA377E" w:rsidRPr="00374D49" w:rsidRDefault="00923557" w:rsidP="00FD4A5B">
      <w:pPr>
        <w:pStyle w:val="Heading4"/>
        <w:spacing w:line="276" w:lineRule="auto"/>
      </w:pPr>
      <w:r>
        <w:t>6.2.2.2 State-Level Findings: Thematic Synthesis</w:t>
      </w:r>
    </w:p>
    <w:p w14:paraId="759030D4" w14:textId="77777777" w:rsidR="00DA377E" w:rsidRPr="00374D49" w:rsidRDefault="00DA377E" w:rsidP="00FD4A5B">
      <w:pPr>
        <w:spacing w:after="140" w:line="276" w:lineRule="auto"/>
        <w:jc w:val="both"/>
        <w:rPr>
          <w:rFonts w:cs="Times New Roman"/>
          <w:color w:val="000000" w:themeColor="text1"/>
          <w:szCs w:val="24"/>
        </w:rPr>
      </w:pPr>
      <w:r>
        <w:rPr>
          <w:rFonts w:cs="Times New Roman"/>
          <w:color w:val="000000" w:themeColor="text1"/>
          <w:szCs w:val="24"/>
        </w:rPr>
        <w:t>Across the twelve administrative units, the state interviews echo the national picture and converge on a consistent set of themes:</w:t>
      </w:r>
    </w:p>
    <w:p w14:paraId="37AE34B2"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Performance and coverage. </w:t>
      </w:r>
      <w:r>
        <w:rPr>
          <w:color w:val="000000" w:themeColor="text1"/>
          <w:sz w:val="24"/>
          <w:szCs w:val="24"/>
        </w:rPr>
        <w:t>Several states report strong routine coverage (Jigawa above 80–100% on key antigens; Gombe's Penta3 rising from ~33% in 2018 to ~57% in 2023/24). The recurring threat to data validity is the private and tertiary facility reporting gap, especially in urban LGAs where completeness often falls below 80%, systematically understating true activity.</w:t>
      </w:r>
    </w:p>
    <w:p w14:paraId="312857EC"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flow and management. </w:t>
      </w:r>
      <w:r>
        <w:rPr>
          <w:color w:val="000000" w:themeColor="text1"/>
          <w:sz w:val="24"/>
          <w:szCs w:val="24"/>
        </w:rPr>
        <w:t>Most states run DHIS2 for monthly reporting alongside a weekly SMS gateway (Jigawa, Nasarawa across 817 facilities), with month-end reconciliation between the two acting as a built-in cross-validation check.</w:t>
      </w:r>
    </w:p>
    <w:p w14:paraId="73C1C89B" w14:textId="2A291D6D"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Data quality. </w:t>
      </w:r>
      <w:r>
        <w:rPr>
          <w:color w:val="000000" w:themeColor="text1"/>
          <w:sz w:val="24"/>
          <w:szCs w:val="24"/>
        </w:rPr>
        <w:t>Common challenges are denominator instability (Nasarawa coverage exceeding 120% from population underestimation), private-facility non-reporting, and tally-to-summary transcription errors, often where one worker both vaccinates and records. Missing monthly summary forms were flagged in FCT as a critical structural gap.</w:t>
      </w:r>
    </w:p>
    <w:p w14:paraId="6C39D446" w14:textId="1EA59ADF"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Analysis and decision-making. </w:t>
      </w:r>
      <w:r>
        <w:rPr>
          <w:color w:val="000000" w:themeColor="text1"/>
          <w:sz w:val="24"/>
          <w:szCs w:val="24"/>
        </w:rPr>
        <w:t>The analytical toolkit is uniformly Excel, Power BI, and the DHIS2 visualiser; no Python, R, or Stata use was identified at the state level. Gombe and Nasarawa show the most structured data-to-action cycles, though a one-to-two-week lag between analysis and implementation is common, driven by the separation of analysts from decision-makers and by logistics constraints.</w:t>
      </w:r>
    </w:p>
    <w:p w14:paraId="019165EA" w14:textId="77777777"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Zero-dose identification. </w:t>
      </w:r>
      <w:r>
        <w:rPr>
          <w:color w:val="000000" w:themeColor="text1"/>
          <w:sz w:val="24"/>
          <w:szCs w:val="24"/>
        </w:rPr>
        <w:t>Approaches combine settlement-level register tracking, community agent networks (TBAs, CHIPS), and administrative analysis; the strongest validation came from house-to-house surveys (Gombe's Zero-Dose Learning Hub) and surveillance triangulation (Nasarawa, where AFP findings showed 12 of 13 LGAs with unimmunised children, prompting a gubernatorial emergency declaration).</w:t>
      </w:r>
    </w:p>
    <w:p w14:paraId="41FF6573" w14:textId="274EA372" w:rsidR="00DA377E" w:rsidRPr="00374D49" w:rsidRDefault="00DA377E"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lastRenderedPageBreak/>
        <w:t xml:space="preserve">Modelling readiness and sustainability. </w:t>
      </w:r>
      <w:r>
        <w:rPr>
          <w:color w:val="000000" w:themeColor="text1"/>
          <w:sz w:val="24"/>
          <w:szCs w:val="24"/>
        </w:rPr>
        <w:t>No predictive tools are in use at the state level. Readiness rests on three consistently named requirements: continuous capacity-building, formal integration of modelling into routine decision structures, and a clear progression pathway from Excel toward advanced platforms. The binding constraint named repeatedly is that skills fade without regular hands-on use: sustainability depends on continuous engagement, not one-off training. Gombe's 2025 move to fully domestic immunisation funding makes it a strong early-pilot candidate.</w:t>
      </w:r>
    </w:p>
    <w:p w14:paraId="7DE3C364" w14:textId="77777777" w:rsidR="00DA377E" w:rsidRPr="00374D49" w:rsidRDefault="00DA377E" w:rsidP="00FD4A5B">
      <w:pPr>
        <w:spacing w:after="80" w:line="276" w:lineRule="auto"/>
        <w:jc w:val="both"/>
        <w:rPr>
          <w:rFonts w:cs="Times New Roman"/>
          <w:color w:val="000000" w:themeColor="text1"/>
          <w:szCs w:val="24"/>
        </w:rPr>
      </w:pPr>
      <w:r>
        <w:rPr>
          <w:rFonts w:cs="Times New Roman"/>
          <w:color w:val="000000" w:themeColor="text1"/>
          <w:szCs w:val="24"/>
        </w:rPr>
        <w:t>The state-by-state summary below captures each unit's distinctive features against the recurring themes.</w:t>
      </w:r>
    </w:p>
    <w:p w14:paraId="4DAEDCE8" w14:textId="77777777" w:rsidR="00923557" w:rsidRPr="00374D49" w:rsidRDefault="00923557" w:rsidP="00FD4A5B">
      <w:pPr>
        <w:spacing w:after="80" w:line="276" w:lineRule="auto"/>
        <w:jc w:val="both"/>
        <w:rPr>
          <w:rFonts w:cs="Times New Roman"/>
          <w:color w:val="000000" w:themeColor="text1"/>
          <w:szCs w:val="24"/>
        </w:rPr>
      </w:pPr>
    </w:p>
    <w:p w14:paraId="5C04BA5C" w14:textId="1408ED14" w:rsidR="00923557" w:rsidRPr="00374D49" w:rsidRDefault="00923557" w:rsidP="00FD4A5B">
      <w:pPr>
        <w:pStyle w:val="MyTables"/>
        <w:keepNext/>
        <w:spacing w:line="276" w:lineRule="auto"/>
      </w:pPr>
      <w:bookmarkStart w:id="127" w:name="_Toc242407982"/>
      <w:r>
        <w:t>Table 12. State-By-State Summary of Qualitative Findings Against the Recurring Themes</w:t>
      </w:r>
      <w:bookmarkEnd w:id="127"/>
    </w:p>
    <w:tbl>
      <w:tblPr>
        <w:tblStyle w:val="PlainTable5"/>
        <w:tblW w:w="9360" w:type="dxa"/>
        <w:jc w:val="center"/>
        <w:tblLook w:val="04A0" w:firstRow="1" w:lastRow="0" w:firstColumn="1" w:lastColumn="0" w:noHBand="0" w:noVBand="1"/>
      </w:tblPr>
      <w:tblGrid>
        <w:gridCol w:w="1300"/>
        <w:gridCol w:w="4360"/>
        <w:gridCol w:w="3700"/>
      </w:tblGrid>
      <w:tr w:rsidR="00203D70" w:rsidRPr="00374D49" w14:paraId="5A8AC9D8" w14:textId="77777777" w:rsidTr="006462F2">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100" w:firstRow="0" w:lastRow="0" w:firstColumn="1" w:lastColumn="0" w:oddVBand="0" w:evenVBand="0" w:oddHBand="0" w:evenHBand="0" w:firstRowFirstColumn="1" w:firstRowLastColumn="0" w:lastRowFirstColumn="0" w:lastRowLastColumn="0"/>
            <w:tcW w:w="1300" w:type="dxa"/>
          </w:tcPr>
          <w:p w14:paraId="25CBDE19" w14:textId="77777777" w:rsidR="00DA377E" w:rsidRPr="00374D49" w:rsidRDefault="00DA377E" w:rsidP="00FD4A5B">
            <w:pPr>
              <w:spacing w:line="276" w:lineRule="auto"/>
              <w:jc w:val="both"/>
              <w:rPr>
                <w:rFonts w:cs="Times New Roman"/>
                <w:color w:val="000000" w:themeColor="text1"/>
                <w:szCs w:val="24"/>
              </w:rPr>
            </w:pPr>
            <w:r>
              <w:rPr>
                <w:rFonts w:cs="Times New Roman"/>
                <w:b/>
                <w:bCs/>
                <w:color w:val="000000" w:themeColor="text1"/>
                <w:szCs w:val="24"/>
              </w:rPr>
              <w:t>Unit</w:t>
            </w:r>
          </w:p>
        </w:tc>
        <w:tc>
          <w:tcPr>
            <w:tcW w:w="4360" w:type="dxa"/>
          </w:tcPr>
          <w:p w14:paraId="191427D9"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Notable strengths / features</w:t>
            </w:r>
          </w:p>
        </w:tc>
        <w:tc>
          <w:tcPr>
            <w:tcW w:w="3700" w:type="dxa"/>
          </w:tcPr>
          <w:p w14:paraId="35495D3D" w14:textId="77777777" w:rsidR="00DA377E" w:rsidRPr="00374D49" w:rsidRDefault="00DA377E" w:rsidP="00FD4A5B">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b/>
                <w:bCs/>
                <w:color w:val="000000" w:themeColor="text1"/>
                <w:szCs w:val="24"/>
              </w:rPr>
              <w:t>Key constraints</w:t>
            </w:r>
          </w:p>
        </w:tc>
      </w:tr>
      <w:tr w:rsidR="00203D70" w:rsidRPr="00374D49" w14:paraId="3D91BDB8"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96E57C3"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FCT (AMAC)</w:t>
            </w:r>
          </w:p>
        </w:tc>
        <w:tc>
          <w:tcPr>
            <w:tcW w:w="4360" w:type="dxa"/>
          </w:tcPr>
          <w:p w14:paraId="392983B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Advanced LGA zero-dose tool (2023/24 mobile app, real-time settlement data); strong community engagement</w:t>
            </w:r>
          </w:p>
        </w:tc>
        <w:tc>
          <w:tcPr>
            <w:tcW w:w="3700" w:type="dxa"/>
          </w:tcPr>
          <w:p w14:paraId="08AF064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Missing monthly summary forms; high private-facility volume; Excel-only; staffing gaps</w:t>
            </w:r>
          </w:p>
        </w:tc>
      </w:tr>
      <w:tr w:rsidR="00203D70" w:rsidRPr="00374D49" w14:paraId="440407E4"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B281E7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Gombe</w:t>
            </w:r>
          </w:p>
        </w:tc>
        <w:tc>
          <w:tcPr>
            <w:tcW w:w="4360" w:type="dxa"/>
          </w:tcPr>
          <w:p w14:paraId="6D24FD1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Penta3 ~33%→57% (2018→2023/24); domestic immunisation funding (2025); house-to-house ZD validation</w:t>
            </w:r>
          </w:p>
        </w:tc>
        <w:tc>
          <w:tcPr>
            <w:tcW w:w="3700" w:type="dxa"/>
          </w:tcPr>
          <w:p w14:paraId="3F0F2B7C"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Private/tertiary reporting gap; no analytic capacity below state; Excel/Power BI only</w:t>
            </w:r>
          </w:p>
        </w:tc>
      </w:tr>
      <w:tr w:rsidR="00203D70" w:rsidRPr="00374D49" w14:paraId="2CD6AC81"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69AF997B"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Jigawa</w:t>
            </w:r>
          </w:p>
        </w:tc>
        <w:tc>
          <w:tcPr>
            <w:tcW w:w="4360" w:type="dxa"/>
          </w:tcPr>
          <w:p w14:paraId="109FF3DB"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Coverage 80–100% on key antigens; dual SMS+DHIS2 with reconciliation; birth-tracking via TBAs/CHIPS</w:t>
            </w:r>
          </w:p>
        </w:tc>
        <w:tc>
          <w:tcPr>
            <w:tcW w:w="3700" w:type="dxa"/>
          </w:tcPr>
          <w:p w14:paraId="635AC8D0"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Seasonal HTR access; private-facility under-reporting; no Python/R; credentials lost without use</w:t>
            </w:r>
          </w:p>
        </w:tc>
      </w:tr>
      <w:tr w:rsidR="00203D70" w:rsidRPr="00374D49" w14:paraId="5432385C"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2A49BA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Nasarawa</w:t>
            </w:r>
          </w:p>
        </w:tc>
        <w:tc>
          <w:tcPr>
            <w:tcW w:w="4360" w:type="dxa"/>
          </w:tcPr>
          <w:p w14:paraId="3FF3C70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Three parallel data systems; last-mile (&gt;3km) strategy; surveillance-driven emergency response</w:t>
            </w:r>
          </w:p>
        </w:tc>
        <w:tc>
          <w:tcPr>
            <w:tcW w:w="3700" w:type="dxa"/>
          </w:tcPr>
          <w:p w14:paraId="0628542F"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Denominator instability (coverage &gt;120%); analyst–decision separation</w:t>
            </w:r>
          </w:p>
        </w:tc>
      </w:tr>
      <w:tr w:rsidR="00203D70" w:rsidRPr="00374D49" w14:paraId="60D0F4A0"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5A8FE7C"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Akwa Ibom</w:t>
            </w:r>
          </w:p>
        </w:tc>
        <w:tc>
          <w:tcPr>
            <w:tcW w:w="4360" w:type="dxa"/>
          </w:tcPr>
          <w:p w14:paraId="5F37A573"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Established routine reporting</w:t>
            </w:r>
          </w:p>
        </w:tc>
        <w:tc>
          <w:tcPr>
            <w:tcW w:w="3700" w:type="dxa"/>
          </w:tcPr>
          <w:p w14:paraId="74D314C6"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Lower data-management score; advanced-analytics readiness limited</w:t>
            </w:r>
          </w:p>
        </w:tc>
      </w:tr>
      <w:tr w:rsidR="00203D70" w:rsidRPr="00374D49" w14:paraId="11C4D2CD"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B459257"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Anambra</w:t>
            </w:r>
          </w:p>
        </w:tc>
        <w:tc>
          <w:tcPr>
            <w:tcW w:w="4360" w:type="dxa"/>
          </w:tcPr>
          <w:p w14:paraId="470BE2E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Functional core data structures</w:t>
            </w:r>
          </w:p>
        </w:tc>
        <w:tc>
          <w:tcPr>
            <w:tcW w:w="3700" w:type="dxa"/>
          </w:tcPr>
          <w:p w14:paraId="2E0BB2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Lowest overall readiness; weak systems integration and infrastructure</w:t>
            </w:r>
          </w:p>
        </w:tc>
      </w:tr>
      <w:tr w:rsidR="00203D70" w:rsidRPr="00374D49" w14:paraId="36B6029A"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46D7C23D"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Bauchi</w:t>
            </w:r>
          </w:p>
        </w:tc>
        <w:tc>
          <w:tcPr>
            <w:tcW w:w="4360" w:type="dxa"/>
          </w:tcPr>
          <w:p w14:paraId="5E4367BD"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Highest Part A score; real-time reporting capacity</w:t>
            </w:r>
          </w:p>
        </w:tc>
        <w:tc>
          <w:tcPr>
            <w:tcW w:w="3700" w:type="dxa"/>
          </w:tcPr>
          <w:p w14:paraId="5AEFA5BC"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Outreach data-tool gaps; advanced-analytics depth limited</w:t>
            </w:r>
          </w:p>
        </w:tc>
      </w:tr>
      <w:tr w:rsidR="00203D70" w:rsidRPr="00374D49" w14:paraId="35589E78"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7F8E9799"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Bayelsa</w:t>
            </w:r>
          </w:p>
        </w:tc>
        <w:tc>
          <w:tcPr>
            <w:tcW w:w="4360" w:type="dxa"/>
          </w:tcPr>
          <w:p w14:paraId="1C5AB7A1"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Marked readiness improvement from baseline</w:t>
            </w:r>
          </w:p>
        </w:tc>
        <w:tc>
          <w:tcPr>
            <w:tcW w:w="3700" w:type="dxa"/>
          </w:tcPr>
          <w:p w14:paraId="5F435675"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Sex-disaggregation rare; moderate systems readiness</w:t>
            </w:r>
          </w:p>
        </w:tc>
      </w:tr>
      <w:tr w:rsidR="00203D70" w:rsidRPr="00374D49" w14:paraId="277D9652"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23C444E0"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Ebonyi</w:t>
            </w:r>
          </w:p>
        </w:tc>
        <w:tc>
          <w:tcPr>
            <w:tcW w:w="4360" w:type="dxa"/>
          </w:tcPr>
          <w:p w14:paraId="3B9312B4"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Robust data-quality processes</w:t>
            </w:r>
          </w:p>
        </w:tc>
        <w:tc>
          <w:tcPr>
            <w:tcW w:w="3700" w:type="dxa"/>
          </w:tcPr>
          <w:p w14:paraId="14414841"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systems readiness and infrastructure adequacy</w:t>
            </w:r>
          </w:p>
        </w:tc>
      </w:tr>
      <w:tr w:rsidR="00203D70" w:rsidRPr="00374D49" w14:paraId="47976AD2"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7FC7DD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Osun</w:t>
            </w:r>
          </w:p>
        </w:tc>
        <w:tc>
          <w:tcPr>
            <w:tcW w:w="4360" w:type="dxa"/>
          </w:tcPr>
          <w:p w14:paraId="4C736CFA"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Large reported staff base; full data-use score</w:t>
            </w:r>
          </w:p>
        </w:tc>
        <w:tc>
          <w:tcPr>
            <w:tcW w:w="3700" w:type="dxa"/>
          </w:tcPr>
          <w:p w14:paraId="0328998D"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Weak data-standards strength; longer time-to-readiness</w:t>
            </w:r>
          </w:p>
        </w:tc>
      </w:tr>
      <w:tr w:rsidR="00203D70" w:rsidRPr="00374D49" w14:paraId="783639CD" w14:textId="77777777" w:rsidTr="006462F2">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16E9E7C4"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t>Oyo</w:t>
            </w:r>
          </w:p>
        </w:tc>
        <w:tc>
          <w:tcPr>
            <w:tcW w:w="4360" w:type="dxa"/>
          </w:tcPr>
          <w:p w14:paraId="266CFCC8"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Strong routine data handling</w:t>
            </w:r>
          </w:p>
        </w:tc>
        <w:tc>
          <w:tcPr>
            <w:tcW w:w="3700" w:type="dxa"/>
          </w:tcPr>
          <w:p w14:paraId="3E2A4F6F" w14:textId="77777777" w:rsidR="00DA377E" w:rsidRPr="00374D49" w:rsidRDefault="00DA377E" w:rsidP="00FD4A5B">
            <w:pPr>
              <w:spacing w:line="276" w:lineRule="auto"/>
              <w:jc w:val="both"/>
              <w:cnfStyle w:val="000000100000" w:firstRow="0" w:lastRow="0" w:firstColumn="0" w:lastColumn="0" w:oddVBand="0" w:evenVBand="0" w:oddHBand="1" w:evenHBand="0" w:firstRowFirstColumn="0" w:firstRowLastColumn="0" w:lastRowFirstColumn="0" w:lastRowLastColumn="0"/>
              <w:rPr>
                <w:rFonts w:cs="Times New Roman"/>
                <w:color w:val="000000" w:themeColor="text1"/>
                <w:szCs w:val="24"/>
              </w:rPr>
            </w:pPr>
            <w:r>
              <w:rPr>
                <w:rFonts w:cs="Times New Roman"/>
                <w:color w:val="000000" w:themeColor="text1"/>
                <w:szCs w:val="24"/>
              </w:rPr>
              <w:t>Predictive-modelling readiness low; Excel-only</w:t>
            </w:r>
          </w:p>
        </w:tc>
      </w:tr>
      <w:tr w:rsidR="00203D70" w:rsidRPr="00374D49" w14:paraId="29022C63" w14:textId="77777777" w:rsidTr="006462F2">
        <w:trPr>
          <w:cantSplit/>
          <w:jc w:val="center"/>
        </w:trPr>
        <w:tc>
          <w:tcPr>
            <w:cnfStyle w:val="001000000000" w:firstRow="0" w:lastRow="0" w:firstColumn="1" w:lastColumn="0" w:oddVBand="0" w:evenVBand="0" w:oddHBand="0" w:evenHBand="0" w:firstRowFirstColumn="0" w:firstRowLastColumn="0" w:lastRowFirstColumn="0" w:lastRowLastColumn="0"/>
            <w:tcW w:w="1300" w:type="dxa"/>
          </w:tcPr>
          <w:p w14:paraId="53545D91" w14:textId="77777777" w:rsidR="00DA377E" w:rsidRPr="00374D49" w:rsidRDefault="00DA377E" w:rsidP="00FD4A5B">
            <w:pPr>
              <w:spacing w:line="276" w:lineRule="auto"/>
              <w:jc w:val="both"/>
              <w:rPr>
                <w:rFonts w:cs="Times New Roman"/>
                <w:color w:val="000000" w:themeColor="text1"/>
                <w:szCs w:val="24"/>
              </w:rPr>
            </w:pPr>
            <w:r>
              <w:rPr>
                <w:rFonts w:cs="Times New Roman"/>
                <w:color w:val="000000" w:themeColor="text1"/>
                <w:szCs w:val="24"/>
              </w:rPr>
              <w:lastRenderedPageBreak/>
              <w:t>Sokoto</w:t>
            </w:r>
          </w:p>
        </w:tc>
        <w:tc>
          <w:tcPr>
            <w:tcW w:w="4360" w:type="dxa"/>
          </w:tcPr>
          <w:p w14:paraId="66965353"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High capacity and staff competency; strong systems readiness</w:t>
            </w:r>
          </w:p>
        </w:tc>
        <w:tc>
          <w:tcPr>
            <w:tcW w:w="3700" w:type="dxa"/>
          </w:tcPr>
          <w:p w14:paraId="30077437" w14:textId="77777777" w:rsidR="00DA377E" w:rsidRPr="00374D49" w:rsidRDefault="00DA377E" w:rsidP="00FD4A5B">
            <w:pPr>
              <w:spacing w:line="276" w:lineRule="auto"/>
              <w:jc w:val="both"/>
              <w:cnfStyle w:val="000000000000" w:firstRow="0" w:lastRow="0" w:firstColumn="0" w:lastColumn="0" w:oddVBand="0" w:evenVBand="0" w:oddHBand="0" w:evenHBand="0" w:firstRowFirstColumn="0" w:firstRowLastColumn="0" w:lastRowFirstColumn="0" w:lastRowLastColumn="0"/>
              <w:rPr>
                <w:rFonts w:cs="Times New Roman"/>
                <w:color w:val="000000" w:themeColor="text1"/>
                <w:szCs w:val="24"/>
              </w:rPr>
            </w:pPr>
            <w:r>
              <w:rPr>
                <w:rFonts w:cs="Times New Roman"/>
                <w:color w:val="000000" w:themeColor="text1"/>
                <w:szCs w:val="24"/>
              </w:rPr>
              <w:t>Quarterly (slower) reporting lag; advanced-analytics readiness mixed</w:t>
            </w:r>
          </w:p>
        </w:tc>
      </w:tr>
    </w:tbl>
    <w:p w14:paraId="5DD550C5" w14:textId="77777777" w:rsidR="00923557" w:rsidRPr="00374D49" w:rsidRDefault="00923557" w:rsidP="00FD4A5B">
      <w:pPr>
        <w:spacing w:before="40" w:after="200" w:line="276" w:lineRule="auto"/>
        <w:jc w:val="both"/>
        <w:rPr>
          <w:rFonts w:cs="Times New Roman"/>
          <w:i/>
          <w:iCs/>
          <w:color w:val="000000" w:themeColor="text1"/>
          <w:sz w:val="18"/>
          <w:szCs w:val="18"/>
        </w:rPr>
      </w:pPr>
    </w:p>
    <w:p w14:paraId="536D939A" w14:textId="69E052CC" w:rsidR="00DA377E" w:rsidRPr="00374D49" w:rsidRDefault="00DA377E" w:rsidP="00FD4A5B">
      <w:pPr>
        <w:spacing w:before="40" w:after="200" w:line="276" w:lineRule="auto"/>
        <w:jc w:val="both"/>
        <w:rPr>
          <w:rFonts w:cs="Times New Roman"/>
          <w:color w:val="000000" w:themeColor="text1"/>
          <w:sz w:val="18"/>
          <w:szCs w:val="18"/>
        </w:rPr>
      </w:pPr>
      <w:r>
        <w:rPr>
          <w:rFonts w:cs="Times New Roman"/>
          <w:i/>
          <w:iCs/>
          <w:color w:val="000000" w:themeColor="text1"/>
          <w:sz w:val="18"/>
          <w:szCs w:val="18"/>
        </w:rPr>
        <w:t>Strengths and constraints are drawn from the endline key-informant interviews and, where noted, the Part A/B readiness scores.</w:t>
      </w:r>
    </w:p>
    <w:p w14:paraId="5B5B6834" w14:textId="77777777" w:rsidR="00923557" w:rsidRPr="00374D49" w:rsidRDefault="00923557" w:rsidP="00FD4A5B">
      <w:pPr>
        <w:spacing w:line="276" w:lineRule="auto"/>
        <w:rPr>
          <w:rFonts w:eastAsiaTheme="majorEastAsia" w:cs="Times New Roman"/>
          <w:b/>
          <w:color w:val="000000" w:themeColor="text1"/>
          <w:sz w:val="32"/>
          <w:szCs w:val="24"/>
        </w:rPr>
      </w:pPr>
      <w:bookmarkStart w:id="128" w:name="_Toc233107598"/>
      <w:r>
        <w:rPr>
          <w:rFonts w:cs="Times New Roman"/>
        </w:rPr>
        <w:br w:type="page"/>
      </w:r>
    </w:p>
    <w:p w14:paraId="30C748FF" w14:textId="5DF2ACCD" w:rsidR="000A30CD" w:rsidRPr="00374D49" w:rsidRDefault="000A30CD" w:rsidP="00FD4A5B">
      <w:pPr>
        <w:pStyle w:val="Heading1"/>
        <w:spacing w:line="276" w:lineRule="auto"/>
      </w:pPr>
      <w:bookmarkStart w:id="129" w:name="_Toc242407940"/>
      <w:r>
        <w:lastRenderedPageBreak/>
        <w:t xml:space="preserve">7. </w:t>
      </w:r>
      <w:bookmarkEnd w:id="128"/>
      <w:r>
        <w:t>Stakeholder Engagement, Digital Gap Remediation and Close-out Activities</w:t>
      </w:r>
      <w:bookmarkEnd w:id="129"/>
    </w:p>
    <w:p w14:paraId="3D38349E" w14:textId="12B0B8F7" w:rsidR="00900794" w:rsidRPr="00374D49" w:rsidRDefault="00900794" w:rsidP="00FD4A5B">
      <w:pPr>
        <w:spacing w:line="276" w:lineRule="auto"/>
        <w:jc w:val="both"/>
        <w:rPr>
          <w:rFonts w:cs="Times New Roman"/>
        </w:rPr>
      </w:pPr>
      <w:r>
        <w:rPr>
          <w:rFonts w:cs="Times New Roman"/>
        </w:rPr>
        <w:t>This section documents the stakeholder engagement, digital remediation planning and close-out activities undertaken after completion of the modelling, readiness assessment and platform-development work. It complements the modelling-domain findings and the baseline–endline readiness assessment by showing how the results were presented to decision-makers, how the Digital Innovation Hub (DIH) gaps were translated into a remedy plan, and how stakeholder feedback shaped the next phase of implementation.</w:t>
      </w:r>
    </w:p>
    <w:p w14:paraId="4D898288" w14:textId="77777777" w:rsidR="00900794" w:rsidRPr="00374D49" w:rsidRDefault="00900794" w:rsidP="00FD4A5B">
      <w:pPr>
        <w:pStyle w:val="Heading2"/>
        <w:spacing w:line="276" w:lineRule="auto"/>
      </w:pPr>
      <w:bookmarkStart w:id="130" w:name="_Toc242407941"/>
      <w:r>
        <w:t>7.1 Stakeholders Engaged</w:t>
      </w:r>
      <w:bookmarkEnd w:id="130"/>
    </w:p>
    <w:p w14:paraId="47A37DAD" w14:textId="77777777" w:rsidR="00900794" w:rsidRPr="00374D49" w:rsidRDefault="00900794" w:rsidP="00FD4A5B">
      <w:pPr>
        <w:spacing w:line="276" w:lineRule="auto"/>
        <w:jc w:val="both"/>
        <w:rPr>
          <w:rFonts w:cs="Times New Roman"/>
        </w:rPr>
      </w:pPr>
      <w:r>
        <w:rPr>
          <w:rFonts w:cs="Times New Roman"/>
        </w:rPr>
        <w:t>The consultancy engaged stakeholders across policy leadership, programme management, data systems, partner coordination and technical implementation. The key stakeholder groups are summarized below.</w:t>
      </w:r>
    </w:p>
    <w:p w14:paraId="6619323B" w14:textId="5E4D73A0" w:rsidR="00900794" w:rsidRPr="00374D49" w:rsidRDefault="00900794" w:rsidP="00FD4A5B">
      <w:pPr>
        <w:pStyle w:val="ListParagraph"/>
        <w:numPr>
          <w:ilvl w:val="0"/>
          <w:numId w:val="4"/>
        </w:numPr>
        <w:spacing w:line="276" w:lineRule="auto"/>
        <w:jc w:val="both"/>
        <w:rPr>
          <w:sz w:val="24"/>
          <w:szCs w:val="24"/>
        </w:rPr>
      </w:pPr>
      <w:r>
        <w:rPr>
          <w:sz w:val="24"/>
          <w:szCs w:val="24"/>
        </w:rPr>
        <w:t>National Primary Health Care Development Agency (NPHCDA) leadership, including the Executive Director, NPHCDA, directors and senior programme staff who reviewed the modelling outputs and provided strategic direction for national adoption.</w:t>
      </w:r>
    </w:p>
    <w:p w14:paraId="6FA90036" w14:textId="2C8559E6" w:rsidR="00900794" w:rsidRPr="00374D49" w:rsidRDefault="00900794" w:rsidP="00FD4A5B">
      <w:pPr>
        <w:pStyle w:val="ListParagraph"/>
        <w:numPr>
          <w:ilvl w:val="0"/>
          <w:numId w:val="4"/>
        </w:numPr>
        <w:spacing w:line="276" w:lineRule="auto"/>
        <w:jc w:val="both"/>
        <w:rPr>
          <w:sz w:val="24"/>
          <w:szCs w:val="24"/>
        </w:rPr>
      </w:pPr>
      <w:r>
        <w:rPr>
          <w:sz w:val="24"/>
          <w:szCs w:val="24"/>
        </w:rPr>
        <w:t>NPHCDA technical units, including the Digital Innovation Hub, the Routine Immunization team, Planning, Research and Statistics, data and analytics personnel, and staff responsible for immunization monitoring, reporting and programme review.</w:t>
      </w:r>
    </w:p>
    <w:p w14:paraId="4179FE58" w14:textId="4C5069AE" w:rsidR="00900794" w:rsidRPr="00374D49" w:rsidRDefault="00900794" w:rsidP="00FD4A5B">
      <w:pPr>
        <w:pStyle w:val="ListParagraph"/>
        <w:numPr>
          <w:ilvl w:val="0"/>
          <w:numId w:val="4"/>
        </w:numPr>
        <w:spacing w:line="276" w:lineRule="auto"/>
        <w:jc w:val="both"/>
        <w:rPr>
          <w:sz w:val="24"/>
          <w:szCs w:val="24"/>
        </w:rPr>
      </w:pPr>
      <w:r>
        <w:rPr>
          <w:sz w:val="24"/>
          <w:szCs w:val="24"/>
        </w:rPr>
        <w:t>Routine Immunization Technical Working Group members, who reviewed the outputs from the perspective of routine programme planning, microplanning, campaign targeting, LGA prioritization and practical use by national and subnational immunization teams.</w:t>
      </w:r>
    </w:p>
    <w:p w14:paraId="001F5103" w14:textId="6DC62C52" w:rsidR="00900794" w:rsidRPr="00374D49" w:rsidRDefault="00DF2ACA" w:rsidP="00FD4A5B">
      <w:pPr>
        <w:pStyle w:val="ListParagraph"/>
        <w:numPr>
          <w:ilvl w:val="0"/>
          <w:numId w:val="4"/>
        </w:numPr>
        <w:spacing w:line="276" w:lineRule="auto"/>
        <w:jc w:val="both"/>
        <w:rPr>
          <w:sz w:val="24"/>
          <w:szCs w:val="24"/>
        </w:rPr>
      </w:pPr>
      <w:r>
        <w:rPr>
          <w:sz w:val="24"/>
          <w:szCs w:val="24"/>
        </w:rPr>
        <w:t>GAVI stakeholders, including the GAVI in-country team and technical reviewers engaged during virtual and in-person close-out discussions on zero-dose targeting, Gavi 6.0 prioritization, modelling outputs and platform use.</w:t>
      </w:r>
    </w:p>
    <w:p w14:paraId="4C7387CD" w14:textId="347CB8F4" w:rsidR="00900794" w:rsidRPr="00374D49" w:rsidRDefault="00900794" w:rsidP="00FD4A5B">
      <w:pPr>
        <w:pStyle w:val="ListParagraph"/>
        <w:numPr>
          <w:ilvl w:val="0"/>
          <w:numId w:val="4"/>
        </w:numPr>
        <w:spacing w:line="276" w:lineRule="auto"/>
        <w:jc w:val="both"/>
        <w:rPr>
          <w:sz w:val="24"/>
          <w:szCs w:val="24"/>
        </w:rPr>
      </w:pPr>
      <w:r>
        <w:rPr>
          <w:sz w:val="24"/>
          <w:szCs w:val="24"/>
        </w:rPr>
        <w:t>UNICEF Nigeria, which supported the broader programme objective of integrating predictive modelling into routine immunization decision-making and strengthening national and state-level capacity for data-driven programme adaptation.</w:t>
      </w:r>
    </w:p>
    <w:p w14:paraId="072DA7A8" w14:textId="5FCD65CF" w:rsidR="00900794" w:rsidRPr="00374D49" w:rsidRDefault="00900794" w:rsidP="00FD4A5B">
      <w:pPr>
        <w:pStyle w:val="ListParagraph"/>
        <w:numPr>
          <w:ilvl w:val="0"/>
          <w:numId w:val="4"/>
        </w:numPr>
        <w:spacing w:line="276" w:lineRule="auto"/>
        <w:jc w:val="both"/>
        <w:rPr>
          <w:sz w:val="24"/>
          <w:szCs w:val="24"/>
        </w:rPr>
      </w:pPr>
      <w:r>
        <w:rPr>
          <w:sz w:val="24"/>
          <w:szCs w:val="24"/>
        </w:rPr>
        <w:t>State Primary Health Care Development Agencies and designated national/state analytics focal persons, who are expected to participate in dashboard use, data submission, model-output interpretation and routine feedback once DIH workflows are institutionalized.</w:t>
      </w:r>
    </w:p>
    <w:p w14:paraId="630DC19D" w14:textId="34665BE0" w:rsidR="00900794" w:rsidRPr="00374D49" w:rsidRDefault="00900794" w:rsidP="00FD4A5B">
      <w:pPr>
        <w:pStyle w:val="ListParagraph"/>
        <w:numPr>
          <w:ilvl w:val="0"/>
          <w:numId w:val="4"/>
        </w:numPr>
        <w:spacing w:line="276" w:lineRule="auto"/>
        <w:jc w:val="both"/>
        <w:rPr>
          <w:sz w:val="24"/>
          <w:szCs w:val="24"/>
        </w:rPr>
      </w:pPr>
      <w:r>
        <w:rPr>
          <w:sz w:val="24"/>
          <w:szCs w:val="24"/>
        </w:rPr>
        <w:t>The CIDRE–Quantium Insights Consortium, which implemented the baseline and endline assessments, facilitated the modelling fellowship, developed the modelling outputs, prepared documentation and supported handover of the platform and decision-support products.</w:t>
      </w:r>
    </w:p>
    <w:p w14:paraId="72394270" w14:textId="77777777" w:rsidR="00391BE4" w:rsidRPr="00374D49" w:rsidRDefault="00391BE4" w:rsidP="00FD4A5B">
      <w:pPr>
        <w:pStyle w:val="Heading2"/>
        <w:spacing w:line="276" w:lineRule="auto"/>
      </w:pPr>
    </w:p>
    <w:p w14:paraId="52FC5ADE" w14:textId="2B0C2699" w:rsidR="00391BE4" w:rsidRPr="00374D49" w:rsidRDefault="00391BE4" w:rsidP="00FD4A5B">
      <w:pPr>
        <w:pStyle w:val="Heading2"/>
        <w:spacing w:line="276" w:lineRule="auto"/>
      </w:pPr>
      <w:bookmarkStart w:id="131" w:name="_Toc242407942"/>
      <w:r>
        <w:t>7.2 Preparatory Engagement, State Entry and Participant Selection</w:t>
      </w:r>
      <w:bookmarkEnd w:id="131"/>
    </w:p>
    <w:p w14:paraId="59A0AD97" w14:textId="5F40FBC7" w:rsidR="00AF0C36" w:rsidRPr="00374D49" w:rsidRDefault="00AF0C36" w:rsidP="00FD4A5B">
      <w:pPr>
        <w:spacing w:line="276" w:lineRule="auto"/>
        <w:jc w:val="both"/>
        <w:rPr>
          <w:rFonts w:cs="Times New Roman"/>
        </w:rPr>
      </w:pPr>
      <w:r>
        <w:rPr>
          <w:rFonts w:cs="Times New Roman"/>
        </w:rPr>
        <w:t xml:space="preserve">Prior to commencement of field activities, the consortium carried out a structured preparatory process to ensure that the baseline and endline assessments were properly introduced, coordinated and implemented across the participating administrative units. Formal letters of </w:t>
      </w:r>
      <w:r>
        <w:rPr>
          <w:rFonts w:cs="Times New Roman"/>
        </w:rPr>
        <w:lastRenderedPageBreak/>
        <w:t>introduction and notification were sent to the selected states and relevant institutional stakeholders to inform them of the purpose of the predictive modelling readiness assessment, the expected scope of engagement, the categories of respondents required and the proposed timelines for data collection. These letters served as the official entry point for securing cooperation from State Primary Health Care Development Agencies, Routine Immunization teams, Planning, Research and Statistics units, Monitoring and Evaluation officers, LGA-level officers and facility-level respondents. Following the dispatch of official letters, state entry and community entry processes were conducted in collaboration with state and local immunization structures. The consortium engaged state-level focal persons and programme officers to confirm appropriate respondents, schedule interviews, identify relevant offices and facilities, and ensure that field teams were properly introduced before data collection. At the LGA and facility levels, entry processes included briefing relevant officers on the purpose of the assessment, confirming their roles in routine immunization data generation and reporting, and obtaining their cooperation for administration of the readiness checklist and key informant interviews. This approach helped reduce disruption to routine work, strengthened ownership of the assessment and ensured that responses were obtained from personnel directly involved in immunization data management, reporting, supervision, analysis and decision-making.</w:t>
      </w:r>
    </w:p>
    <w:p w14:paraId="3A9EE87E" w14:textId="2B9EDF58" w:rsidR="00AF0C36" w:rsidRPr="00374D49" w:rsidRDefault="00AF0C36" w:rsidP="00FD4A5B">
      <w:pPr>
        <w:spacing w:line="276" w:lineRule="auto"/>
        <w:jc w:val="both"/>
        <w:rPr>
          <w:rFonts w:cs="Times New Roman"/>
        </w:rPr>
      </w:pPr>
      <w:r>
        <w:rPr>
          <w:rFonts w:cs="Times New Roman"/>
        </w:rPr>
        <w:t>The data collection process was implemented using a role-based selection approach. Respondents were purposively selected for their direct involvement in routine immunization data systems, surveillance-linked reporting, data quality assurance, programme monitoring, performance review, planning, or service delivery. At national and state levels, the assessment prioritized officers responsible for immunization coordination, Planning, Research and Statistics, Monitoring and Evaluation, data management and Digital Innovation Hub-related functions. At LGA level, respondents included officers involved in PHC coordination, immunization implementation, disease surveillance, monitoring and data validation. At facility level, respondents included PHC in-charges and routine immunization service providers responsible for recording, summarizing and submitting immunization service data. Participant selection for the fellowship was also undertaken to ensure representation across national and sub-national levels and to support the institutionalization of predictive modelling capacity within the immunization system. A total of 20 national-level participants were selected, comprising 18 participants from NPHCDA and 2 participants from NCDC. These participants represented central-level technical and programme functions relevant to immunization data use, surveillance, modelling, analytics, programme planning and decision-making. In addition, 37 sub-national participants were selected to represent state-level routine immunization and data-use structures. The inclusion of sub-national participants was important as predictive modelling outputs are only useful when they can be interpreted and applied by the officers responsible for planning, supervision, outreach prioritization and corrective action at state and lower levels.</w:t>
      </w:r>
    </w:p>
    <w:p w14:paraId="43780365" w14:textId="77777777" w:rsidR="000D12F8" w:rsidRPr="00374D49" w:rsidRDefault="00AF0C36" w:rsidP="00FD4A5B">
      <w:pPr>
        <w:spacing w:line="276" w:lineRule="auto"/>
        <w:jc w:val="both"/>
        <w:rPr>
          <w:rFonts w:cs="Times New Roman"/>
        </w:rPr>
      </w:pPr>
      <w:r>
        <w:rPr>
          <w:rFonts w:cs="Times New Roman"/>
        </w:rPr>
        <w:t xml:space="preserve">Overall, the preparatory engagement, state entry, community entry and participant-selection processes ensured that the assessment and fellowship were embedded within existing NPHCDA, state, LGA and facility structures. This strengthened access to relevant respondents, improved the quality of the data collected, supported ownership among participating states and </w:t>
      </w:r>
      <w:r>
        <w:rPr>
          <w:rFonts w:cs="Times New Roman"/>
        </w:rPr>
        <w:lastRenderedPageBreak/>
        <w:t>created a practical foundation for translating the modelling outputs into routine immunization planning and decision-making.</w:t>
      </w:r>
    </w:p>
    <w:p w14:paraId="4A605FCF" w14:textId="2FBF7249" w:rsidR="000D12F8" w:rsidRPr="00374D49" w:rsidRDefault="000D12F8" w:rsidP="00FD4A5B">
      <w:pPr>
        <w:pStyle w:val="Heading2"/>
        <w:spacing w:line="276" w:lineRule="auto"/>
      </w:pPr>
      <w:bookmarkStart w:id="132" w:name="_Toc242407943"/>
      <w:r>
        <w:t>7.3 Remedy Plan to Address Digital and DIH Gaps</w:t>
      </w:r>
      <w:bookmarkEnd w:id="132"/>
    </w:p>
    <w:p w14:paraId="50A3DA6E" w14:textId="77777777" w:rsidR="000D12F8" w:rsidRPr="00374D49" w:rsidRDefault="000D12F8" w:rsidP="00FD4A5B">
      <w:pPr>
        <w:spacing w:line="276" w:lineRule="auto"/>
        <w:jc w:val="both"/>
        <w:rPr>
          <w:rFonts w:cs="Times New Roman"/>
        </w:rPr>
      </w:pPr>
      <w:r>
        <w:rPr>
          <w:rFonts w:cs="Times New Roman"/>
        </w:rPr>
        <w:t>The digital gap analysis was used as a guide for interpreting the gaps that affect predictive modelling deployment and DIH functionality. The key finding was that Nigeria has a functional routine immunization data foundation, with DHIS2/HMIS and routine review structures already in use, but the system still requires targeted remediation before predictive modelling can be sustained as a routine government-owned workflow.</w:t>
      </w:r>
    </w:p>
    <w:p w14:paraId="15B4507E" w14:textId="5EB89DD3" w:rsidR="000D12F8" w:rsidRPr="00374D49" w:rsidRDefault="000D12F8" w:rsidP="00FD4A5B">
      <w:pPr>
        <w:pStyle w:val="Heading3"/>
        <w:spacing w:line="276" w:lineRule="auto"/>
        <w:jc w:val="both"/>
        <w:rPr>
          <w:rFonts w:cs="Times New Roman"/>
        </w:rPr>
      </w:pPr>
      <w:bookmarkStart w:id="133" w:name="_Toc242407944"/>
      <w:r>
        <w:rPr>
          <w:rFonts w:cs="Times New Roman"/>
        </w:rPr>
        <w:t>7.3.1 DIH Governance, Ownership and Workflow Activation</w:t>
      </w:r>
      <w:bookmarkEnd w:id="133"/>
    </w:p>
    <w:p w14:paraId="4180BD3A" w14:textId="77777777" w:rsidR="000D12F8" w:rsidRPr="00374D49" w:rsidRDefault="000D12F8" w:rsidP="00FD4A5B">
      <w:pPr>
        <w:spacing w:line="276" w:lineRule="auto"/>
        <w:jc w:val="both"/>
        <w:rPr>
          <w:rFonts w:cs="Times New Roman"/>
        </w:rPr>
      </w:pPr>
      <w:r>
        <w:rPr>
          <w:rFonts w:cs="Times New Roman"/>
        </w:rPr>
        <w:t>The DIH should serve as the institutional home for routine predictive modelling. This requires defined roles for data custody, model operation, output review, approval and release. The workflow should include data submission, validation, model execution, quality assurance, interpretation, sign-off and dissemination of final outputs to NPHCDA leadership, programme teams and partners. Standard operating procedures, model assumptions, data dictionaries, user guides, approval workflows and model-version records should be maintained by the DIH so that outputs remain traceable and auditable.</w:t>
      </w:r>
    </w:p>
    <w:p w14:paraId="02E8308B" w14:textId="653DCA8D" w:rsidR="000D12F8" w:rsidRPr="00374D49" w:rsidRDefault="000D12F8" w:rsidP="00FD4A5B">
      <w:pPr>
        <w:pStyle w:val="Heading3"/>
        <w:spacing w:line="276" w:lineRule="auto"/>
        <w:jc w:val="both"/>
        <w:rPr>
          <w:rFonts w:cs="Times New Roman"/>
        </w:rPr>
      </w:pPr>
      <w:bookmarkStart w:id="134" w:name="_Toc242407945"/>
      <w:r>
        <w:rPr>
          <w:rFonts w:cs="Times New Roman"/>
        </w:rPr>
        <w:t>7.3.2 Hardware, Power and Connectivity Remediation</w:t>
      </w:r>
      <w:bookmarkEnd w:id="134"/>
    </w:p>
    <w:p w14:paraId="209AE923" w14:textId="77777777" w:rsidR="000D12F8" w:rsidRPr="00374D49" w:rsidRDefault="000D12F8" w:rsidP="00FD4A5B">
      <w:pPr>
        <w:spacing w:line="276" w:lineRule="auto"/>
        <w:jc w:val="both"/>
        <w:rPr>
          <w:rFonts w:cs="Times New Roman"/>
        </w:rPr>
      </w:pPr>
      <w:r>
        <w:rPr>
          <w:rFonts w:cs="Times New Roman"/>
        </w:rPr>
        <w:t>The remedy plan should prioritize the equipment required for national and state participation in the modelling workflow. This includes high-specification laptops for national analytics users and one focal analytics user in each state and the FCT, dedicated analytics servers, secure backup storage, uninterrupted power protection, a national DIH solar/inverter system, state/FCT power-backup arrangements, reliable business connectivity for the DIH and data bundles for designated national and state focal persons. These items are necessary because unstable devices, power and internet directly affect data submission, dashboard access, model refresh and analytics continuity.</w:t>
      </w:r>
    </w:p>
    <w:p w14:paraId="71EEB6BC" w14:textId="5645DE57" w:rsidR="000D12F8" w:rsidRPr="00374D49" w:rsidRDefault="000D12F8" w:rsidP="00FD4A5B">
      <w:pPr>
        <w:pStyle w:val="Heading3"/>
        <w:spacing w:line="276" w:lineRule="auto"/>
        <w:jc w:val="both"/>
        <w:rPr>
          <w:rFonts w:cs="Times New Roman"/>
        </w:rPr>
      </w:pPr>
      <w:bookmarkStart w:id="135" w:name="_Toc242407946"/>
      <w:r>
        <w:rPr>
          <w:rFonts w:cs="Times New Roman"/>
        </w:rPr>
        <w:t>7.3.3 Data Integration, Hosting and Digital Workflow</w:t>
      </w:r>
      <w:bookmarkEnd w:id="135"/>
    </w:p>
    <w:p w14:paraId="6DE54507" w14:textId="77777777" w:rsidR="000D12F8" w:rsidRPr="00374D49" w:rsidRDefault="000D12F8" w:rsidP="00FD4A5B">
      <w:pPr>
        <w:spacing w:line="276" w:lineRule="auto"/>
        <w:jc w:val="both"/>
        <w:rPr>
          <w:rFonts w:cs="Times New Roman"/>
        </w:rPr>
      </w:pPr>
      <w:r>
        <w:rPr>
          <w:rFonts w:cs="Times New Roman"/>
        </w:rPr>
        <w:t>The DIH should move from manual data assembly to an integrated digital workflow. Priority actions include DHIS2-surveillance integration, an API exchange layer for DHIS2, LMIS, campaign, surveillance and external data sources, ETL/data warehouse development, cloud hosting, automated DHIS2 refresh, historical-data access and a multi-source data linkage platform. These actions will reduce manual data handling, improve reproducibility and allow modelling outputs to be refreshed when routine monthly data are updated.</w:t>
      </w:r>
    </w:p>
    <w:p w14:paraId="0F960BC4" w14:textId="42964271" w:rsidR="000D12F8" w:rsidRPr="00374D49" w:rsidRDefault="000D12F8" w:rsidP="00FD4A5B">
      <w:pPr>
        <w:pStyle w:val="Heading3"/>
        <w:spacing w:line="276" w:lineRule="auto"/>
        <w:jc w:val="both"/>
        <w:rPr>
          <w:rFonts w:cs="Times New Roman"/>
        </w:rPr>
      </w:pPr>
      <w:bookmarkStart w:id="136" w:name="_Toc242407947"/>
      <w:r>
        <w:rPr>
          <w:rFonts w:cs="Times New Roman"/>
        </w:rPr>
        <w:t>7.3.4 Data Quality, Denominator Validation and Reporting Completeness</w:t>
      </w:r>
      <w:bookmarkEnd w:id="136"/>
    </w:p>
    <w:p w14:paraId="0A4E192D" w14:textId="41339273" w:rsidR="000D12F8" w:rsidRPr="00374D49" w:rsidRDefault="000D12F8" w:rsidP="00FD4A5B">
      <w:pPr>
        <w:spacing w:line="276" w:lineRule="auto"/>
        <w:jc w:val="both"/>
        <w:rPr>
          <w:rFonts w:cs="Times New Roman"/>
        </w:rPr>
      </w:pPr>
      <w:r>
        <w:rPr>
          <w:rFonts w:cs="Times New Roman"/>
        </w:rPr>
        <w:t>Data-quality improvement should proceed alongside modelling adoption. Priority actions include automated QA scripts, anomaly detection, outlier checks, completeness monitoring, denominator validation, source-record reconciliation, monthly Penta1 completeness checks, and routine review of private and tertiary facility reporting. These actions are essential because denominator instability, missing Penta1 data, incomplete private/tertiary reporting, and delayed facility submissions can distort zero-dose, dropout, and coverage estimates if they are not flagged and corrected.</w:t>
      </w:r>
    </w:p>
    <w:p w14:paraId="712884F3" w14:textId="0B1FD493" w:rsidR="000D12F8" w:rsidRPr="00374D49" w:rsidRDefault="000D12F8" w:rsidP="00FD4A5B">
      <w:pPr>
        <w:pStyle w:val="Heading3"/>
        <w:spacing w:line="276" w:lineRule="auto"/>
        <w:jc w:val="both"/>
        <w:rPr>
          <w:rFonts w:cs="Times New Roman"/>
        </w:rPr>
      </w:pPr>
      <w:bookmarkStart w:id="137" w:name="_Toc242407948"/>
      <w:r>
        <w:rPr>
          <w:rFonts w:cs="Times New Roman"/>
        </w:rPr>
        <w:lastRenderedPageBreak/>
        <w:t>7.3.5 Capacity Development and Routine Use</w:t>
      </w:r>
      <w:bookmarkEnd w:id="137"/>
    </w:p>
    <w:p w14:paraId="3A81418F" w14:textId="77777777" w:rsidR="000D12F8" w:rsidRPr="00374D49" w:rsidRDefault="000D12F8" w:rsidP="00FD4A5B">
      <w:pPr>
        <w:spacing w:line="276" w:lineRule="auto"/>
        <w:jc w:val="both"/>
        <w:rPr>
          <w:rFonts w:cs="Times New Roman"/>
        </w:rPr>
      </w:pPr>
      <w:r>
        <w:rPr>
          <w:rFonts w:cs="Times New Roman"/>
        </w:rPr>
        <w:t>Capacity development should shift from broad exposure to sustained applied competence. The next phase should establish a small DIH/RI analytics core, supported by state focal persons, with clear terms of reference and protected time for analysis. Training should be cohort-based, disease-specific and anchored in real state datasets. At least six months of post-training mentorship, recurring model-refresh assignments and review of outputs during RI performance meetings should be included so that modelling becomes a routine programme function rather than a one-off training output.</w:t>
      </w:r>
    </w:p>
    <w:p w14:paraId="0BBCD85B" w14:textId="05F27652" w:rsidR="000D12F8" w:rsidRPr="00374D49" w:rsidRDefault="000D12F8" w:rsidP="00FD4A5B">
      <w:pPr>
        <w:pStyle w:val="Heading3"/>
        <w:spacing w:line="276" w:lineRule="auto"/>
        <w:jc w:val="both"/>
        <w:rPr>
          <w:rFonts w:cs="Times New Roman"/>
        </w:rPr>
      </w:pPr>
      <w:bookmarkStart w:id="138" w:name="_Toc242407949"/>
      <w:r>
        <w:rPr>
          <w:rFonts w:cs="Times New Roman"/>
        </w:rPr>
        <w:t>7.3.6 Platform Expansion Based on Stakeholder Feedback</w:t>
      </w:r>
      <w:bookmarkEnd w:id="138"/>
    </w:p>
    <w:p w14:paraId="66C4C085" w14:textId="77777777" w:rsidR="000D12F8" w:rsidRPr="00374D49" w:rsidRDefault="000D12F8" w:rsidP="00FD4A5B">
      <w:pPr>
        <w:spacing w:line="276" w:lineRule="auto"/>
        <w:jc w:val="both"/>
        <w:rPr>
          <w:rFonts w:cs="Times New Roman"/>
        </w:rPr>
      </w:pPr>
      <w:r>
        <w:rPr>
          <w:rFonts w:cs="Times New Roman"/>
        </w:rPr>
        <w:t>Feedback from NPHCDA leadership and partners should guide platform expansion. Immediate enhancements should include OPV and IPV alongside the current tracer antigens; LGA ranking from worst to best for prioritization; and LGA-specific profiles showing the main problem, likely driver and proposed intervention. These improvements will make the platform more useful for outbreak preparedness, campaign planning, microplanning and routine supervision.</w:t>
      </w:r>
    </w:p>
    <w:p w14:paraId="5AC525C8" w14:textId="425B7388" w:rsidR="00632B96" w:rsidRPr="00374D49" w:rsidRDefault="00632B96" w:rsidP="00FD4A5B">
      <w:pPr>
        <w:pStyle w:val="Heading2"/>
        <w:spacing w:line="276" w:lineRule="auto"/>
      </w:pPr>
      <w:bookmarkStart w:id="139" w:name="_Toc242407950"/>
      <w:r>
        <w:t>7.4 Close-out Meetings and Dissemination Activities</w:t>
      </w:r>
      <w:bookmarkEnd w:id="139"/>
    </w:p>
    <w:p w14:paraId="516C57C2" w14:textId="77777777" w:rsidR="00632B96" w:rsidRPr="00374D49" w:rsidRDefault="00632B96" w:rsidP="00FD4A5B">
      <w:pPr>
        <w:spacing w:line="276" w:lineRule="auto"/>
        <w:jc w:val="both"/>
        <w:rPr>
          <w:rFonts w:cs="Times New Roman"/>
        </w:rPr>
      </w:pPr>
      <w:r>
        <w:rPr>
          <w:rFonts w:cs="Times New Roman"/>
        </w:rPr>
        <w:t>The close-out phase was used to present the final modelling outputs, demonstrate the platform, validate the practical interpretation of results and agree on priority next steps for DIH adoption and Gavi 6.0 targeting.</w:t>
      </w:r>
    </w:p>
    <w:p w14:paraId="446F94A7" w14:textId="093AF584" w:rsidR="00632B96" w:rsidRPr="00374D49" w:rsidRDefault="00632B96" w:rsidP="00FD4A5B">
      <w:pPr>
        <w:pStyle w:val="Heading3"/>
        <w:spacing w:line="276" w:lineRule="auto"/>
        <w:jc w:val="both"/>
        <w:rPr>
          <w:rFonts w:cs="Times New Roman"/>
        </w:rPr>
      </w:pPr>
      <w:bookmarkStart w:id="140" w:name="_Toc242407951"/>
      <w:r>
        <w:rPr>
          <w:rFonts w:cs="Times New Roman"/>
        </w:rPr>
        <w:t>7.4.1 GAVI Engagements</w:t>
      </w:r>
      <w:bookmarkEnd w:id="140"/>
    </w:p>
    <w:p w14:paraId="07A6A915" w14:textId="327745D5" w:rsidR="00632B96" w:rsidRPr="00374D49" w:rsidRDefault="00632B96" w:rsidP="00FD4A5B">
      <w:pPr>
        <w:spacing w:line="276" w:lineRule="auto"/>
        <w:jc w:val="both"/>
        <w:rPr>
          <w:rFonts w:cs="Times New Roman"/>
        </w:rPr>
      </w:pPr>
      <w:r>
        <w:rPr>
          <w:rFonts w:cs="Times New Roman"/>
        </w:rPr>
        <w:t>The close-out process included both virtual and in-person engagements with GAVI stakeholders. The documented in-country engagement took place on Tuesday, 7 July 2026. During this engagement, the team presented the zero-dose modelling findings, the LGA priority list, the community archetypes, the platform outputs and the proposed use of the results for Gavi 6.0 targeting. Discussions emphasized the need for clear, actionable outputs that can support investment decisions, phased prioritization and microplanning at LGA level.</w:t>
      </w:r>
    </w:p>
    <w:p w14:paraId="1FB13903" w14:textId="790F3F9A" w:rsidR="00632B96" w:rsidRPr="00374D49" w:rsidRDefault="00632B96" w:rsidP="00FD4A5B">
      <w:pPr>
        <w:pStyle w:val="Heading3"/>
        <w:spacing w:line="276" w:lineRule="auto"/>
        <w:jc w:val="both"/>
        <w:rPr>
          <w:rFonts w:cs="Times New Roman"/>
        </w:rPr>
      </w:pPr>
      <w:bookmarkStart w:id="141" w:name="_Toc242407952"/>
      <w:r>
        <w:rPr>
          <w:rFonts w:cs="Times New Roman"/>
        </w:rPr>
        <w:t>7.4.2 NPHCDA Leadership and Technical Staff Meeting</w:t>
      </w:r>
      <w:bookmarkEnd w:id="141"/>
    </w:p>
    <w:p w14:paraId="6CE4EC46" w14:textId="64F3752F" w:rsidR="00632B96" w:rsidRPr="00374D49" w:rsidRDefault="00632B96" w:rsidP="00FD4A5B">
      <w:pPr>
        <w:spacing w:line="276" w:lineRule="auto"/>
        <w:jc w:val="both"/>
        <w:rPr>
          <w:rFonts w:cs="Times New Roman"/>
        </w:rPr>
      </w:pPr>
      <w:r>
        <w:rPr>
          <w:rFonts w:cs="Times New Roman"/>
        </w:rPr>
        <w:t>Following the GAVI in-country engagement, the consortium held a second presentation on Tuesday, 7 July 2026 with the Director of Disease Control and Immunization NPHCDA, other Directors and key NPHCDA staff, including the Head of DIH and the Head of Routine Immunization. This meeting presented the consolidated modelling outputs, platform functionality, DIH handover requirements and the practical implications of the ranked LGA list.</w:t>
      </w:r>
    </w:p>
    <w:p w14:paraId="25491E83" w14:textId="204E0DD0" w:rsidR="00632B96" w:rsidRPr="00374D49" w:rsidRDefault="00632B96" w:rsidP="00FD4A5B">
      <w:pPr>
        <w:pStyle w:val="Heading3"/>
        <w:spacing w:line="276" w:lineRule="auto"/>
        <w:jc w:val="both"/>
        <w:rPr>
          <w:rFonts w:cs="Times New Roman"/>
        </w:rPr>
      </w:pPr>
      <w:bookmarkStart w:id="142" w:name="_Toc242407953"/>
      <w:r>
        <w:rPr>
          <w:rFonts w:cs="Times New Roman"/>
        </w:rPr>
        <w:t>7.4.3 Meeting with the Executive Director</w:t>
      </w:r>
      <w:bookmarkEnd w:id="142"/>
    </w:p>
    <w:p w14:paraId="01243C6B" w14:textId="290FFFBF" w:rsidR="00632B96" w:rsidRPr="00374D49" w:rsidRDefault="00632B96" w:rsidP="00FD4A5B">
      <w:pPr>
        <w:spacing w:line="276" w:lineRule="auto"/>
        <w:jc w:val="both"/>
        <w:rPr>
          <w:rFonts w:cs="Times New Roman"/>
        </w:rPr>
      </w:pPr>
      <w:r>
        <w:rPr>
          <w:rFonts w:cs="Times New Roman"/>
        </w:rPr>
        <w:t>On Wednesday, 8 July 2026, the team presented the modelling work and platform outputs to the Executive Director of NPHCDA. The Executive Director provided specific inputs for strengthening the next phase of the work. These included expanding the antigen scope to include OPV and IPV; ranking LGAs from the worst-performing to the best-performing for prioritization; and providing LGA-specific problems, issues and proposed interventions or solutions. These inputs are important because they move the platform from general risk identification toward direct programme use for outbreak preparedness, targeted interventions and LGA-specific corrective action.</w:t>
      </w:r>
    </w:p>
    <w:p w14:paraId="662E8A85" w14:textId="31D6314F" w:rsidR="00632B96" w:rsidRPr="00374D49" w:rsidRDefault="00632B96" w:rsidP="00FD4A5B">
      <w:pPr>
        <w:pStyle w:val="Heading3"/>
        <w:spacing w:line="276" w:lineRule="auto"/>
        <w:jc w:val="both"/>
        <w:rPr>
          <w:rFonts w:cs="Times New Roman"/>
        </w:rPr>
      </w:pPr>
      <w:bookmarkStart w:id="143" w:name="_Toc242407954"/>
      <w:r>
        <w:rPr>
          <w:rFonts w:cs="Times New Roman"/>
        </w:rPr>
        <w:lastRenderedPageBreak/>
        <w:t>7.4.4 DIH Handover and Operationalization Meeting</w:t>
      </w:r>
      <w:bookmarkEnd w:id="143"/>
    </w:p>
    <w:p w14:paraId="2284EC42" w14:textId="77777777" w:rsidR="00632B96" w:rsidRPr="00374D49" w:rsidRDefault="00632B96" w:rsidP="00FD4A5B">
      <w:pPr>
        <w:spacing w:line="276" w:lineRule="auto"/>
        <w:jc w:val="both"/>
        <w:rPr>
          <w:rFonts w:cs="Times New Roman"/>
        </w:rPr>
      </w:pPr>
      <w:r>
        <w:rPr>
          <w:rFonts w:cs="Times New Roman"/>
        </w:rPr>
        <w:t>The DIH close-out engagement focused on operational ownership of the platform and modelling workflow. The handover discussion covered platform access, routine data upload, model refresh, data-quality checks, output review, documentation, version control, approval processes, user administration, SOPs, data dictionaries and maintenance responsibilities. The key agreement was that the DIH should become the operational hub for routine modelling, while continued platform maintenance, enhancement and expansion should remain collaborative between NPHCDA and the CIDRE–Quantium Insights Consortium during the transition period.</w:t>
      </w:r>
    </w:p>
    <w:p w14:paraId="60685A0B" w14:textId="6C908B76" w:rsidR="00632B96" w:rsidRPr="00374D49" w:rsidRDefault="00632B96" w:rsidP="00FD4A5B">
      <w:pPr>
        <w:pStyle w:val="Heading3"/>
        <w:spacing w:line="276" w:lineRule="auto"/>
        <w:jc w:val="both"/>
        <w:rPr>
          <w:rFonts w:cs="Times New Roman"/>
        </w:rPr>
      </w:pPr>
      <w:bookmarkStart w:id="144" w:name="_Toc242407955"/>
      <w:r>
        <w:rPr>
          <w:rFonts w:cs="Times New Roman"/>
        </w:rPr>
        <w:t>7.4.5 Routine Immunization Technical Working Group Meeting</w:t>
      </w:r>
      <w:bookmarkEnd w:id="144"/>
    </w:p>
    <w:p w14:paraId="576419B8" w14:textId="3E429F2F" w:rsidR="00900794" w:rsidRPr="00374D49" w:rsidRDefault="00632B96" w:rsidP="00FD4A5B">
      <w:pPr>
        <w:spacing w:line="276" w:lineRule="auto"/>
        <w:jc w:val="both"/>
        <w:rPr>
          <w:rFonts w:eastAsiaTheme="majorEastAsia" w:cs="Times New Roman"/>
          <w:b/>
          <w:color w:val="000000" w:themeColor="text1"/>
          <w:sz w:val="32"/>
          <w:szCs w:val="24"/>
        </w:rPr>
      </w:pPr>
      <w:r>
        <w:rPr>
          <w:rFonts w:cs="Times New Roman"/>
        </w:rPr>
        <w:t xml:space="preserve">The modelling outputs were also presented to the Routine Immunization Technical Working Group on Friday, 17 July 2026. The presentation focused on practical programme use: how the ranked LGA list can support microplanning, how community archetypes can guide intervention packages, how antigen-specific alerts can inform supervision and outreach, and how the platform can be used for routine model refresh and Gavi 6.0 targeting. </w:t>
      </w:r>
      <w:r>
        <w:rPr>
          <w:rFonts w:cs="Times New Roman"/>
        </w:rPr>
        <w:br w:type="page"/>
      </w:r>
    </w:p>
    <w:p w14:paraId="1F91DEDA" w14:textId="2474E20A" w:rsidR="00900794" w:rsidRPr="00374D49" w:rsidRDefault="00900794" w:rsidP="00FD4A5B">
      <w:pPr>
        <w:pStyle w:val="Heading1"/>
        <w:spacing w:line="276" w:lineRule="auto"/>
      </w:pPr>
      <w:bookmarkStart w:id="145" w:name="_Toc242407956"/>
      <w:r>
        <w:lastRenderedPageBreak/>
        <w:t>8. Discussion</w:t>
      </w:r>
      <w:bookmarkEnd w:id="145"/>
    </w:p>
    <w:p w14:paraId="68483D92" w14:textId="73104748"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together, the seven modelling domains tell one coherent story. A stable, broadly on-target national average masks a deep north-western deficit, and four independent analytical routes to the equity-deprivation index, the Bayesian hotspot surface, the outbreak-risk surface, and the GBD triangulation, converge on the same small set of states: Sokoto, Kebbi, and Zamfara, with Niger, Katsina, Kaduna, and Jigawa close behind. That this convergence arises from administrative, survey, and mortality data that were modelled separately is the strongest form of corroboration available short of a trial.</w:t>
      </w:r>
    </w:p>
    <w:p w14:paraId="366EE933" w14:textId="044D1CB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Two findings reshape programme design. First, the coverage-to-mortality link is real and quantified, so closing the zero-dose gap in these states is expected to translate into avoided child deaths, the argument GAVI investment rests on. Second, demand and supply problems do not share a map: hesitancy is concentrated differently from zero-dose burden, so demand-generation messaging and supply-and-access expansion must be targeted independently rather than bundled into one national campaign.</w:t>
      </w:r>
    </w:p>
    <w:p w14:paraId="7088F3C5" w14:textId="1A471FDD"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The readiness assessment frames whether these models can be owned and sustained in-country. The endline quantitative results are encouraging: across the thirteen assessed units, basic data-use structures are broadly established (eight of thirteen scored at or above 90% on Part A), no unit fell below a moderate overall capacity level, and most units are estimated to reach modelling readiness within three to nine months. The consistent differentiator is advanced analytics capacity rather than routine data handling: the predictive modelling readiness sub-domain showed the widest spread (55.6% to 100%), and systems integration varied from fully automated to none. This points to where differentiated, unit-specific support should concentrate. Comparing rounds (per the agreed approach, comparison is drawn here rather than in the results), some units show marked movement from baseline; Bayelsa, for example, rose from 59.5% at baseline to 90.5% at endline on the Part A checklist. The two rounds are interpreted together below, so that improvements, steady states, and any declines are each read on their merits rather than as simple before-and-after change.</w:t>
      </w:r>
    </w:p>
    <w:p w14:paraId="50FCB564" w14:textId="1E532327" w:rsidR="000A30CD" w:rsidRPr="00374D49" w:rsidRDefault="000A30CD" w:rsidP="00FD4A5B">
      <w:pPr>
        <w:spacing w:after="140" w:line="276" w:lineRule="auto"/>
        <w:jc w:val="both"/>
        <w:rPr>
          <w:rFonts w:cs="Times New Roman"/>
          <w:color w:val="000000" w:themeColor="text1"/>
          <w:szCs w:val="24"/>
        </w:rPr>
      </w:pPr>
      <w:r>
        <w:rPr>
          <w:rFonts w:cs="Times New Roman"/>
          <w:color w:val="000000" w:themeColor="text1"/>
          <w:szCs w:val="24"/>
        </w:rPr>
        <w:t>Read across the two rounds, the readiness picture has strengthened in several respects. The lowest baseline performers improved markedly; Bayelsa rose from 59.5% to 90.5% on the Part A checklist, and the overall distribution tightened, with the endline range (78.6% to 97.6%) sitting higher and narrower than at baseline (59.5% to 97.6%). On the qualitative side, governance moved from informal, unevenly enforced policy toward a formal DIH architecture aligned with national data-protection law, and modelling shifted from an understood-but-aspirational concept to confirmed operational use in the identification and active reprioritisation of the 100 zero-dose LGAs.</w:t>
      </w:r>
    </w:p>
    <w:p w14:paraId="4BD0D0D4" w14:textId="59E8ABCF"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 stakeholder engagement and close-out activities further strengthened the interpretation and uptake of the findings. The presentation to the GAVI in-country team provided an opportunity to align the modelling outputs with Gavi 6.0 targeting and financing discussions. Further presentations to the Deputy Director, NPHCDA, other directors and key NPHCDA staff, including the Head of DIH and Head of RI, created a management-level review platform within NPHCDA. The Executive Director’s review further sharpened the operational direction of the work by recommending the inclusion of OPV and IPV, ranking of LGAs from worst to best, </w:t>
      </w:r>
      <w:r>
        <w:rPr>
          <w:rFonts w:cs="Times New Roman"/>
          <w:color w:val="000000" w:themeColor="text1"/>
          <w:szCs w:val="24"/>
        </w:rPr>
        <w:lastRenderedPageBreak/>
        <w:t>and production of LGA-specific problem statements with corresponding interventions. The subsequent presentation to the Routine Immunization Technical Working helped position the outputs within the technical forum responsible for routine immunization planning and follow-up.</w:t>
      </w:r>
    </w:p>
    <w:p w14:paraId="7C68618F" w14:textId="5B3E3C94"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 xml:space="preserve">These engagement activities are important as predictive modelling can only influence immunization outcomes if decision-makers understand, accept and routinely use the outputs. The meetings with GAVI, NPHCDA leadership, the Executive Director, the DIH team and the RI Technical Working Group therefore served as validation, interpretation and institutionalization moments. </w:t>
      </w:r>
    </w:p>
    <w:p w14:paraId="01922E27" w14:textId="4B73B7D0" w:rsidR="00745E2A" w:rsidRPr="00374D49" w:rsidRDefault="00745E2A" w:rsidP="00FD4A5B">
      <w:pPr>
        <w:spacing w:after="140" w:line="276" w:lineRule="auto"/>
        <w:jc w:val="both"/>
        <w:rPr>
          <w:rFonts w:cs="Times New Roman"/>
          <w:color w:val="000000" w:themeColor="text1"/>
          <w:szCs w:val="24"/>
        </w:rPr>
      </w:pPr>
      <w:r>
        <w:rPr>
          <w:rFonts w:cs="Times New Roman"/>
          <w:color w:val="000000" w:themeColor="text1"/>
          <w:szCs w:val="24"/>
        </w:rPr>
        <w:t>The digital gap analysis reinforces the same message. Routine immunization data are available, and DHIS2/HMIS provides an important foundation, but the digital structure is not yet strong enough to sustain routine predictive modelling without targeted remediation. The system must be able to extract clean data, link multiple sources, run reproducible models, refresh dashboards, govern access, document assumptions, protect data, and translate outputs into decisions. Current gaps in hardware, power, connectivity, hosting, systems integration, private and tertiary reporting, data-quality automation, access control and DIH workflow design directly affect whether the modelling platform can become a routine function rather than a project output.</w:t>
      </w:r>
    </w:p>
    <w:p w14:paraId="33BFAF27" w14:textId="3850C403" w:rsidR="00723C39" w:rsidRPr="00374D49" w:rsidRDefault="000A30CD" w:rsidP="00FD4A5B">
      <w:pPr>
        <w:spacing w:after="140" w:line="276" w:lineRule="auto"/>
        <w:jc w:val="both"/>
        <w:rPr>
          <w:rFonts w:eastAsiaTheme="majorEastAsia" w:cs="Times New Roman"/>
          <w:b/>
          <w:color w:val="000000" w:themeColor="text1"/>
          <w:sz w:val="32"/>
          <w:szCs w:val="24"/>
        </w:rPr>
      </w:pPr>
      <w:r>
        <w:rPr>
          <w:rFonts w:cs="Times New Roman"/>
          <w:color w:val="000000" w:themeColor="text1"/>
          <w:szCs w:val="24"/>
        </w:rPr>
        <w:t>Systems integration and infrastructure adequacy still vary widely, with Anambra and Ebonyi weakest on both at endline; the private- and tertiary-facility reporting gap persists as a structural source of undercount; and the sustainability of skills depends on continuous hands-on use, echoing the baseline concern about staff attrition and the reactive analytical culture. Crucially for adoption, the highest-burden modelling states identified in Section 5 Sokoto, Jigawa, Bauchi and others in the North-West score comparatively well on endline readiness (Sokoto and Jigawa at the top of the capacity scale, most in the 3–6 month readiness band), which is favourable: the places where the modelling matters most are among the better positioned to operate it, provided the named capacity, governance and infrastructure conditions are met.</w:t>
      </w:r>
      <w:bookmarkStart w:id="146" w:name="_Toc233107599"/>
      <w:r>
        <w:rPr>
          <w:rFonts w:cs="Times New Roman"/>
        </w:rPr>
        <w:br w:type="page"/>
      </w:r>
    </w:p>
    <w:p w14:paraId="220611BC" w14:textId="3F9FBE5D" w:rsidR="00AA2057" w:rsidRPr="00374D49" w:rsidRDefault="008A11F6" w:rsidP="00FD4A5B">
      <w:pPr>
        <w:pStyle w:val="Heading1"/>
        <w:spacing w:line="276" w:lineRule="auto"/>
      </w:pPr>
      <w:bookmarkStart w:id="147" w:name="_Toc242407957"/>
      <w:r>
        <w:lastRenderedPageBreak/>
        <w:t>9. Conclusions and Recommendations</w:t>
      </w:r>
      <w:bookmarkEnd w:id="146"/>
      <w:bookmarkEnd w:id="147"/>
    </w:p>
    <w:p w14:paraId="5DE31649" w14:textId="14C6BCB7" w:rsidR="00AA2057" w:rsidRPr="00374D49" w:rsidRDefault="008A11F6" w:rsidP="00FD4A5B">
      <w:pPr>
        <w:pStyle w:val="Heading2"/>
        <w:spacing w:line="276" w:lineRule="auto"/>
      </w:pPr>
      <w:bookmarkStart w:id="148" w:name="_Toc233107600"/>
      <w:bookmarkStart w:id="149" w:name="_Toc242407958"/>
      <w:r>
        <w:t>9.1 Conclusions</w:t>
      </w:r>
      <w:bookmarkEnd w:id="148"/>
      <w:bookmarkEnd w:id="149"/>
    </w:p>
    <w:p w14:paraId="6BDAE92D" w14:textId="57977CA5"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Nigeria's zero-dose burden is a concentrated, entrenched, and convergent one, centred on a small group of North-Western states where low coverage, structural deprivation, outbreak risk, and vaccine-preventable mortality coincide. The modelling localizes this burden to the LGA level, explains its drivers, distinguishes demand from supply geographies, and links coverage gaps to child deaths, turning a national average into an actionable, prioritized map. Polio interruption is within credible reach, conditional on sustaining campaign quality and surveillance in a small number of gating states.</w:t>
      </w:r>
    </w:p>
    <w:p w14:paraId="48304A73" w14:textId="3316EBC8" w:rsidR="00AA2057" w:rsidRPr="00374D49" w:rsidRDefault="00AA2057" w:rsidP="00FD4A5B">
      <w:pPr>
        <w:spacing w:after="140" w:line="276" w:lineRule="auto"/>
        <w:jc w:val="both"/>
        <w:rPr>
          <w:rFonts w:cs="Times New Roman"/>
          <w:color w:val="000000" w:themeColor="text1"/>
          <w:szCs w:val="24"/>
        </w:rPr>
      </w:pPr>
      <w:r>
        <w:rPr>
          <w:rFonts w:cs="Times New Roman"/>
          <w:color w:val="000000" w:themeColor="text1"/>
          <w:szCs w:val="24"/>
        </w:rPr>
        <w:t>Whether these gains are realized depends on institutional readiness. The readiness assessment identifies the conditions, namely analytics capacity, data-quality governance, systems integration, and infrastructure, that determine whether predictive modelling becomes embedded in national practice or remains a project output.</w:t>
      </w:r>
    </w:p>
    <w:p w14:paraId="314D53A1" w14:textId="73B3D0AF"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close-out engagements confirmed strong stakeholder interest and provided clear direction for the next phase. GAVI engagement positioned the outputs for GAVI 6.0 targeting. NPHCDA leadership engagement supported internal ownership. The Executive Director’s inputs sharpened the operational agenda by calling for inclusion of OPV and IPV, worst-to-best LGA prioritization, and LGA-specific problem-and-solution profiles. The Routine Immunization Technical Working Group presentation created an important technical platform for further uptake.</w:t>
      </w:r>
    </w:p>
    <w:p w14:paraId="49A985A6" w14:textId="7E8E1EC7" w:rsidR="00DD5037" w:rsidRPr="00374D49" w:rsidRDefault="00DD5037" w:rsidP="00FD4A5B">
      <w:pPr>
        <w:spacing w:after="140" w:line="276" w:lineRule="auto"/>
        <w:jc w:val="both"/>
        <w:rPr>
          <w:rFonts w:cs="Times New Roman"/>
          <w:color w:val="000000" w:themeColor="text1"/>
          <w:szCs w:val="24"/>
        </w:rPr>
      </w:pPr>
      <w:r>
        <w:rPr>
          <w:rFonts w:cs="Times New Roman"/>
          <w:color w:val="000000" w:themeColor="text1"/>
          <w:szCs w:val="24"/>
        </w:rPr>
        <w:t>The DIH remains the most appropriate institutional home for sustaining the modelling workflow. However, it will require targeted digital remediation to function as a routine predictive-modelling hub. Without stronger data pipelines, model governance, user roles, approval workflows, power, connectivity, hosting, documentation, access control and data-quality automation, the modelling platform risks remaining a project output rather than becoming an embedded decision-support system.</w:t>
      </w:r>
    </w:p>
    <w:p w14:paraId="7FA4F537" w14:textId="3A4B66A4" w:rsidR="00AA2057" w:rsidRPr="00374D49" w:rsidRDefault="008A11F6" w:rsidP="00FD4A5B">
      <w:pPr>
        <w:pStyle w:val="Heading2"/>
        <w:spacing w:line="276" w:lineRule="auto"/>
      </w:pPr>
      <w:bookmarkStart w:id="150" w:name="_Toc233107601"/>
      <w:bookmarkStart w:id="151" w:name="_Toc242407959"/>
      <w:r>
        <w:t>9.2 Recommendations</w:t>
      </w:r>
      <w:bookmarkEnd w:id="150"/>
      <w:bookmarkEnd w:id="151"/>
    </w:p>
    <w:p w14:paraId="76603E35" w14:textId="320FCA0B"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color w:val="000000" w:themeColor="text1"/>
          <w:sz w:val="24"/>
          <w:szCs w:val="24"/>
        </w:rPr>
        <w:t xml:space="preserve">Target the convergent Tier-1 North-West first. </w:t>
      </w:r>
      <w:r>
        <w:rPr>
          <w:color w:val="000000" w:themeColor="text1"/>
          <w:sz w:val="24"/>
          <w:szCs w:val="24"/>
        </w:rPr>
        <w:t>Concentrate the largest, most sustained package on Sokoto, Kebbi, and Zamfara, with Niger, Katsina, Kaduna, and Jigawa close behind, using the ranked LGA list for microplanning rather than whole-state campaigns. Sequence the investment in two waves: an initial wave across about 151 LGAs reaches half of missed children and is fundable as a single package, with expansion to about 342 LGAs required to reach 80%. The 107 LGAs ranked in the top 155 by both Domain 5 methods should form the core of the first wave. Budget planning should provide for the second wave from the outset rather than treating it as contingent.</w:t>
      </w:r>
    </w:p>
    <w:p w14:paraId="653F619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Prioritize the measles first dose and timely follow-up campaigns. </w:t>
      </w:r>
      <w:r>
        <w:rPr>
          <w:color w:val="000000" w:themeColor="text1"/>
          <w:sz w:val="24"/>
          <w:szCs w:val="24"/>
        </w:rPr>
        <w:t>This is the single highest-yield action for averting vaccine-preventable child deaths in the near term, per the coverage-to-mortality link.</w:t>
      </w:r>
    </w:p>
    <w:p w14:paraId="4B8F3B03"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Differentiate delivery by community archetype. </w:t>
      </w:r>
      <w:r>
        <w:rPr>
          <w:color w:val="000000" w:themeColor="text1"/>
          <w:sz w:val="24"/>
          <w:szCs w:val="24"/>
        </w:rPr>
        <w:t>Match each LGA's package to its barrier profile rather than running one national or whole-state strategy; treat demand and supply as separate maps.</w:t>
      </w:r>
    </w:p>
    <w:p w14:paraId="50D7D089"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lastRenderedPageBreak/>
        <w:t xml:space="preserve">Close the second-measles-dose leak </w:t>
      </w:r>
      <w:r>
        <w:rPr>
          <w:color w:val="000000" w:themeColor="text1"/>
          <w:sz w:val="24"/>
          <w:szCs w:val="24"/>
        </w:rPr>
        <w:t>in the persistent high-dropout South-East and South-West states, and audit persistent negative dropout as a denominator/reporting issue.</w:t>
      </w:r>
    </w:p>
    <w:p w14:paraId="0267E792"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Protect the polio interruption pathway </w:t>
      </w:r>
      <w:r>
        <w:rPr>
          <w:color w:val="000000" w:themeColor="text1"/>
          <w:sz w:val="24"/>
          <w:szCs w:val="24"/>
        </w:rPr>
        <w:t>by concentrating campaign quality and surveillance in the six gating states, especially the north-eastern reservoir, and strengthening investigation timeliness.</w:t>
      </w:r>
    </w:p>
    <w:p w14:paraId="672B90AC"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Institutionalize the platform in the Digital Innovation Hub </w:t>
      </w:r>
      <w:r>
        <w:rPr>
          <w:color w:val="000000" w:themeColor="text1"/>
          <w:sz w:val="24"/>
          <w:szCs w:val="24"/>
        </w:rPr>
        <w:t>and sustain analytics capacity against attrition, so the models are refreshed and used in routine planning rather than as a one-off exercise.</w:t>
      </w:r>
    </w:p>
    <w:p w14:paraId="335DBC00" w14:textId="4AF524CB" w:rsidR="00626932" w:rsidRPr="00374D49" w:rsidRDefault="00626932"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Implement the digital and DIH remediation plan.</w:t>
      </w:r>
      <w:r>
        <w:rPr>
          <w:color w:val="000000" w:themeColor="text1"/>
          <w:sz w:val="24"/>
          <w:szCs w:val="24"/>
        </w:rPr>
        <w:t xml:space="preserve"> Priority remediation should include DIH reactivation, cloud/data warehouse setup, DHIS2 refresh automation, integration with surveillance and other data systems, data linkage, automated QA scripts, anomaly detection, private/tertiary reporting bridge, role-based access control, model-output approval workflow, secure backup, power support, connectivity and state-level access.</w:t>
      </w:r>
    </w:p>
    <w:p w14:paraId="0D59FF04" w14:textId="65CC16D3"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Concentrate capacity-building on a small, committed analytics core </w:t>
      </w:r>
      <w:r>
        <w:rPr>
          <w:color w:val="000000" w:themeColor="text1"/>
          <w:sz w:val="24"/>
          <w:szCs w:val="24"/>
        </w:rPr>
        <w:t>rather than broad training, with disease-specific depth, sustained mentorship, and a jointly built working model, the conditions the national assessment identified as decisive.</w:t>
      </w:r>
    </w:p>
    <w:p w14:paraId="5098EF7B"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Assign explicit organisational responsibility for modelling </w:t>
      </w:r>
      <w:r>
        <w:rPr>
          <w:color w:val="000000" w:themeColor="text1"/>
          <w:sz w:val="24"/>
          <w:szCs w:val="24"/>
        </w:rPr>
        <w:t>with leadership-level supervision and follow-up, since trained skills fade without assigned tasks and accountability.</w:t>
      </w:r>
    </w:p>
    <w:p w14:paraId="16280FE9" w14:textId="203B43CE"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Prioritize systems integration and infrastructure in the weakest units</w:t>
      </w:r>
      <w:r>
        <w:rPr>
          <w:color w:val="000000" w:themeColor="text1"/>
          <w:sz w:val="24"/>
          <w:szCs w:val="24"/>
        </w:rPr>
        <w:t xml:space="preserve"> and close the private- and tertiary-facility reporting gap, which systematically undercounts urban activity and distorts zero-dose targeting.</w:t>
      </w:r>
    </w:p>
    <w:p w14:paraId="19F72966"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Pilot local modelling adoption in well-positioned high-burden states </w:t>
      </w:r>
      <w:r>
        <w:rPr>
          <w:color w:val="000000" w:themeColor="text1"/>
          <w:sz w:val="24"/>
          <w:szCs w:val="24"/>
        </w:rPr>
        <w:t>such as Sokoto and Jigawa, where readiness scores are strong, and in Gombe, which now funds immunisation domestically, converting the favourable readiness-burden overlap into early operational use.</w:t>
      </w:r>
    </w:p>
    <w:p w14:paraId="39FBFA08" w14:textId="77777777" w:rsidR="00AA2057" w:rsidRPr="00374D49" w:rsidRDefault="00AA2057" w:rsidP="00FD4A5B">
      <w:pPr>
        <w:pStyle w:val="ListParagraph"/>
        <w:numPr>
          <w:ilvl w:val="0"/>
          <w:numId w:val="1"/>
        </w:numPr>
        <w:spacing w:after="80" w:line="276" w:lineRule="auto"/>
        <w:jc w:val="both"/>
        <w:rPr>
          <w:color w:val="000000" w:themeColor="text1"/>
          <w:sz w:val="24"/>
          <w:szCs w:val="24"/>
        </w:rPr>
      </w:pPr>
      <w:r>
        <w:rPr>
          <w:b/>
          <w:bCs/>
          <w:color w:val="000000" w:themeColor="text1"/>
          <w:sz w:val="24"/>
          <w:szCs w:val="24"/>
        </w:rPr>
        <w:t xml:space="preserve">Build modelling-ready data architecture through the DIH </w:t>
      </w:r>
      <w:r>
        <w:rPr>
          <w:color w:val="000000" w:themeColor="text1"/>
          <w:sz w:val="24"/>
          <w:szCs w:val="24"/>
        </w:rPr>
        <w:t>so that routinely collected data is structured and granular enough to support modelling, addressing the data-sufficiency barrier directly.</w:t>
      </w:r>
    </w:p>
    <w:p w14:paraId="0CC9D2D4" w14:textId="10224103" w:rsidR="00A17049" w:rsidRPr="00374D49" w:rsidRDefault="008A11F6" w:rsidP="00FD4A5B">
      <w:pPr>
        <w:pStyle w:val="Heading2"/>
        <w:spacing w:line="276" w:lineRule="auto"/>
      </w:pPr>
      <w:bookmarkStart w:id="152" w:name="_Toc233107602"/>
      <w:bookmarkStart w:id="153" w:name="_Toc242407960"/>
      <w:r>
        <w:t>9.3 Limitations and Next Steps</w:t>
      </w:r>
      <w:bookmarkEnd w:id="152"/>
      <w:bookmarkEnd w:id="153"/>
    </w:p>
    <w:p w14:paraId="35A9B754"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Domain 7 currently uses IHME GBD 2023 modelled mortality as a proxy because the IDSR/NCDC line-lists are pending; the risk surface is a structural-susceptibility measure, not a dated outbreak forecast, and will be re-estimated once surveillance data arrive.</w:t>
      </w:r>
    </w:p>
    <w:p w14:paraId="4AEAE0B7"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Administrative DHIS2 counts are subject to reporting completeness and denominator error; survey anchoring and Bayesian shrinkage mitigate but do not eliminate this.</w:t>
      </w:r>
    </w:p>
    <w:p w14:paraId="2FBBA619" w14:textId="77777777"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Hesitancy is measured from ACSM field-activity coding, which captures concerns that were voiced and recorded; absence of recorded concern is not proof of confidence.</w:t>
      </w:r>
    </w:p>
    <w:p w14:paraId="4CDFC9D9" w14:textId="5DA4DBE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Domain 8 (counterfactual campaign design, cost-effectiveness frontiers, and budget-constrained LGA optimization) is the planned next step/phase, awaiting programme and expenditure data from the NPHCDA.</w:t>
      </w:r>
    </w:p>
    <w:p w14:paraId="00001CAE" w14:textId="77777777" w:rsidR="00374D49" w:rsidRDefault="00374D49">
      <w:pPr>
        <w:pStyle w:val="ListParagraph"/>
        <w:numPr>
          <w:ilvl w:val="0"/>
          <w:numId w:val="3"/>
        </w:numPr>
        <w:spacing w:after="120" w:line="276" w:lineRule="auto"/>
        <w:jc w:val="both"/>
      </w:pPr>
      <w:r>
        <w:lastRenderedPageBreak/>
        <w:t>Of the three areas for strengthening identified during NPHCDA leadership review on 8 July 2026, two are addressed in this report: the antigen panel now extends to nine further antigens including OPV3, IPV1 and IPV2 (Section 5.1.1), and all modelled LGAs are ranked worst-to-best by burden (Section 5.5.2). The third, LGA-specific problem-and-intervention profiles, is partially addressed through the archetype-matched packages in Tables 6 and 6c, and will be completed at LGA level once a GRID3 or National Health Facility Registry facility dataset is available.</w:t>
      </w:r>
    </w:p>
    <w:p w14:paraId="00001CAF" w14:textId="77777777" w:rsidR="00374D49" w:rsidRDefault="00374D49">
      <w:pPr>
        <w:pStyle w:val="ListParagraph"/>
        <w:numPr>
          <w:ilvl w:val="0"/>
          <w:numId w:val="3"/>
        </w:numPr>
        <w:spacing w:after="120" w:line="276" w:lineRule="auto"/>
        <w:jc w:val="both"/>
      </w:pPr>
      <w:r>
        <w:t>Method 1 does not estimate Guzamala (Borno), which reported no Penta1 doses in 2021-2024, and its LGA allocation follows reported Penta1 doses, so LGAs whose reported doses are out of line with their population carry larger error. Method 2, which does not use routine coverage, provides the cross-check (Section 5.5.5); it relies on modelled covariate surfaces (2016-2024) and survey anchors, and its LGA estimates are model-based. Priority LGAs should be confirmed locally before large investments.</w:t>
      </w:r>
    </w:p>
    <w:p w14:paraId="404F6F96" w14:textId="3A57AE1A"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The readiness assessment covers thirteen administrative units (National, FCT, and eleven states); findings are indicative of these units and not a full national census of subnational readiness.</w:t>
      </w:r>
    </w:p>
    <w:p w14:paraId="27CF8F8A" w14:textId="2109E84C" w:rsidR="00A17049" w:rsidRPr="00374D49" w:rsidRDefault="00A17049" w:rsidP="00FD4A5B">
      <w:pPr>
        <w:pStyle w:val="ListParagraph"/>
        <w:numPr>
          <w:ilvl w:val="0"/>
          <w:numId w:val="1"/>
        </w:numPr>
        <w:spacing w:after="80" w:line="276" w:lineRule="auto"/>
        <w:jc w:val="both"/>
        <w:rPr>
          <w:color w:val="000000" w:themeColor="text1"/>
          <w:sz w:val="24"/>
          <w:szCs w:val="24"/>
        </w:rPr>
      </w:pPr>
      <w:r>
        <w:rPr>
          <w:color w:val="000000" w:themeColor="text1"/>
          <w:sz w:val="24"/>
          <w:szCs w:val="24"/>
        </w:rPr>
        <w:t>Qualitative findings reflect the views of the specific key informants interviewed; in several states, capability was concentrated in one individual, so unit-level readiness can be sensitive to staff movement.</w:t>
      </w:r>
    </w:p>
    <w:p w14:paraId="48F70A53" w14:textId="77777777" w:rsidR="00AA2011" w:rsidRPr="00374D49" w:rsidRDefault="00A17049" w:rsidP="00FD4A5B">
      <w:pPr>
        <w:pStyle w:val="ListParagraph"/>
        <w:numPr>
          <w:ilvl w:val="0"/>
          <w:numId w:val="1"/>
        </w:numPr>
        <w:spacing w:after="80" w:line="276" w:lineRule="auto"/>
        <w:jc w:val="both"/>
        <w:rPr>
          <w:color w:val="000000" w:themeColor="text1"/>
          <w:sz w:val="24"/>
          <w:szCs w:val="24"/>
        </w:rPr>
      </w:pPr>
      <w:bookmarkStart w:id="154" w:name="_Toc233107603"/>
      <w:r>
        <w:rPr>
          <w:color w:val="000000" w:themeColor="text1"/>
          <w:sz w:val="24"/>
          <w:szCs w:val="24"/>
        </w:rPr>
        <w:t>Denominator instability (administrative coverage exceeding 100% nationally for all four tracer antigens and in most LGAs) affects the routine data that underpins both readiness judgements and zero-dose targeting, and is mitigated but not eliminated by absolute-number tracking and enumeration exercises.</w:t>
      </w:r>
    </w:p>
    <w:bookmarkEnd w:id="154"/>
    <w:p w14:paraId="41451A2E" w14:textId="77777777" w:rsidR="00723C39" w:rsidRPr="00374D49" w:rsidRDefault="00723C39">
      <w:pPr>
        <w:rPr>
          <w:rFonts w:cs="Times New Roman"/>
          <w:color w:val="000000" w:themeColor="text1"/>
          <w:szCs w:val="24"/>
        </w:rPr>
      </w:pPr>
      <w:r>
        <w:rPr>
          <w:rFonts w:cs="Times New Roman"/>
          <w:color w:val="000000" w:themeColor="text1"/>
          <w:szCs w:val="24"/>
        </w:rPr>
        <w:br w:type="page"/>
      </w:r>
    </w:p>
    <w:p w14:paraId="2845D516" w14:textId="1CABF9FC" w:rsidR="007B3856" w:rsidRPr="00374D49" w:rsidRDefault="00723C39" w:rsidP="00723C39">
      <w:pPr>
        <w:pStyle w:val="Heading1"/>
      </w:pPr>
      <w:bookmarkStart w:id="155" w:name="_Toc242407961"/>
      <w:r>
        <w:lastRenderedPageBreak/>
        <w:t>References</w:t>
      </w:r>
      <w:bookmarkEnd w:id="155"/>
    </w:p>
    <w:p w14:paraId="25273796" w14:textId="430B8599"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Benjamini Y, Hochberg Y. Controlling the false discovery rate: a practical and powerful approach to multiple testing. Journal of the Royal Statistical Society: Series B (Methodological). 1995;57(1):289–300. doi:10.1111/j.2517-6161.1995.tb02031.x.</w:t>
      </w:r>
    </w:p>
    <w:p w14:paraId="6C8C2E4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Bhatia D, Crowcroft N, Antoni S, Danovaro-Holliday MC, Bose AS, Minta A, et al. Prediction of subnational-level vaccination coverage estimates using routine surveillance data and survey data. Vaccine. 2025;60:127277. doi:10.1016/j.vaccine.2025.127277.</w:t>
      </w:r>
    </w:p>
    <w:p w14:paraId="08AF2DE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Biswas A, Hossain MM, Mullick MSI, Vyas P, Sievert C, Shet A. Performance of predictive algorithms in estimating the risk of being a zero-dose child in India, Mali and Nigeria. BMJ Global Health. 2023;8(10). doi:10.1136/bmjgh-2023-012836.</w:t>
      </w:r>
    </w:p>
    <w:p w14:paraId="431FAE42"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Dehnavieh R, Haghdoost AA, Khosravi A, Hoseinabadi F, Rahimi H, Poursheikhali A, et al. The District Health Information System (DHIS2): a literature review and meta-synthesis of its strengths and operational challenges based on the experiences of 11 countries. Health Information Management Journal. 2019;48(2):62–75. doi:10.1177/1833358318777713.</w:t>
      </w:r>
    </w:p>
    <w:p w14:paraId="3906AAC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Etim EE, Odiachi A, Dougherty L, Alabi M, Adetunji A, Adedimeji A. Understanding caregivers’ and community influencers’ perspectives on the barriers to childhood immunisation in Northern Nigerian states with public-private partnerships in routine immunisation programmes. BMC Public Health. 2025;25:1471. doi:10.1186/s12889-025-22710-7.</w:t>
      </w:r>
    </w:p>
    <w:p w14:paraId="77D2443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Ferrari SLP, Cribari-Neto F. Beta regression for modelling rates and proportions. Journal of Applied Statistics. 2004;31(7):799–815. doi:10.1080/0266476042000214501.</w:t>
      </w:r>
    </w:p>
    <w:p w14:paraId="7FDE15EF"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Fotheringham AS, Yang W, Kang W. Multiscale geographically weighted regression. Annals of the American Association of Geographers. 2017;107(6):1247–1265. doi:10.1080/24694452.2017.1352480.</w:t>
      </w:r>
    </w:p>
    <w:p w14:paraId="42EB4EA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the Vaccine Alliance. Gavi 6.0 strategy: 2026–2030. Geneva: Gavi, the Vaccine Alliance; 2024.</w:t>
      </w:r>
    </w:p>
    <w:p w14:paraId="69D519DE"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Gavi Zero-Dose Learning Hub. Nigeria zero-dose situation analysis. Geneva: Gavi Zero-Dose Learning Hub; 2023.</w:t>
      </w:r>
    </w:p>
    <w:p w14:paraId="68505A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Getis A, Ord JK. The analysis of spatial association by use of distance statistics. Geographical Analysis. 1992;24(3):189–206. doi:10.1111/j.1538-4632.1992.tb00261.x.</w:t>
      </w:r>
    </w:p>
    <w:p w14:paraId="30AE9CF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Global Polio Surveillance Action Plan, 2022–2024. Geneva: World Health Organization; 2022.</w:t>
      </w:r>
    </w:p>
    <w:p w14:paraId="093BC8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Global Polio Eradication Initiative. Standard operating procedures: responding to a poliovirus event or outbreak. Version 4. Geneva: World Health Organization; 2022.</w:t>
      </w:r>
    </w:p>
    <w:p w14:paraId="671A5BB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GRID3. GRID3 impact report 2017–2022. New York: Geo-Referenced Infrastructure and Demographic Data for Development; 2023.</w:t>
      </w:r>
    </w:p>
    <w:p w14:paraId="3F894D46"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Institute for Health Metrics and Evaluation. Global Burden of Disease 2023: findings from the GBD 2023 study. Seattle, WA: Institute for Health Metrics and Evaluation; 2025.</w:t>
      </w:r>
    </w:p>
    <w:p w14:paraId="1CDD3BD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Jean Baptiste AE, Wagai J, Hahné S, Adeniran A, Koko RI, de Vos S, et al. High-resolution geospatial mapping of zero-dose and underimmunized children following Nigeria’s 2021 Multiple Indicator Cluster Survey/National Immunization Coverage Survey. Journal of Infectious Diseases. 2024;230(1)–e138. doi:10.1093/infdis/jiad476.</w:t>
      </w:r>
    </w:p>
    <w:p w14:paraId="319A3015"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Kaduru C, Godwin I, Akeboi O, Cyril-Egware K, Uzoma S, Maduekwe V, et al. Geospatial analysis of immunisation outcomes in Nigeria using a Bayesian geostatistical approach and an interactive dashboard. Discover Public Health. 2025;22:333. doi:10.1186/s12982-025-00719-y.</w:t>
      </w:r>
    </w:p>
    <w:p w14:paraId="6656AB2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Kulldorff M. A spatial scan statistic. Communications in Statistics—Theory and Methods. 1997;26(6):1481–1496. doi:10.1080/03610929708831995.</w:t>
      </w:r>
    </w:p>
    <w:p w14:paraId="0021EEE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Leask J, Christou-Ergos M, Abdi I, Mboussou F, Sabahelzain MM, Wiley KE, et al. Informing the development of transmission modelling guidance for global immunization decision-making: a qualitative needs assessment. Vaccine. 2025;49:126800. doi:10.1016/j.vaccine.2025.126800.</w:t>
      </w:r>
    </w:p>
    <w:p w14:paraId="52494F6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Mahachi K, Kessels J, Boateng K, Baptiste AEJ, Mitula P, Ekeman E, et al. Zero- or missed-dose children in Nigeria: contributing factors and interventions to overcome immunization service-delivery challenges. Vaccine. 2022;40(37):5433–5444. doi:10.1016/j.vaccine.2022.07.058.</w:t>
      </w:r>
    </w:p>
    <w:p w14:paraId="4473CA29"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National Population Commission (Nigeria), ICF. Nigeria Demographic and Health Survey 2024. DHS Final Report No. FR395. Abuja, Nigeria, and Rockville, Maryland, USA: National Population Commission and ICF; 2025.</w:t>
      </w:r>
    </w:p>
    <w:p w14:paraId="339280B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Nnadi C, Etsano A, Uba B, Ohuabunwo C, Melton M, Nganda GW, et al. Approaches to vaccination among populations in areas of conflict. Journal of Infectious Diseases. 2017;216(Suppl 1)–S372. doi:10.1093/infdis/jix175.</w:t>
      </w:r>
    </w:p>
    <w:p w14:paraId="6D0E6B03"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Ord JK, Getis A. Local spatial autocorrelation statistics: distributional issues and an application. Geographical Analysis. 1995;27(4):286–306. doi:10.1111/j.1538-4632.1995.tb00912.x.</w:t>
      </w:r>
    </w:p>
    <w:p w14:paraId="05D7162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Shattock AJ, Johnson HC, Sim SY, Carter A, Lambach P, Hutubessy RCW, et al. Contribution of vaccination to improved survival and health: modelling 50 years of the Expanded Programme on Immunization. The Lancet. 2024;403(10441):2307–2316. doi:10.1016/S0140-6736(24)00850-X.</w:t>
      </w:r>
    </w:p>
    <w:p w14:paraId="16A0C53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Shuaib F, Garba AB, Meribole E, Obasi S, Sule A, Nnadi C, et al. Implementing the routine immunisation data module and dashboard of DHIS2 in Nigeria, 2014–2019. BMJ Global Health. 2020;5(7). doi:10.1136/bmjgh-2019-002203.</w:t>
      </w:r>
    </w:p>
    <w:p w14:paraId="112E193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Taylor SJ, Letham B. Forecasting at scale. The American Statistician. 2018;72(1):37–45. doi:10.1080/00031305.2017.1380080.</w:t>
      </w:r>
    </w:p>
    <w:p w14:paraId="51DA972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Tchoualeu DD, Elmousaad HE, Osadebe LU, Adegoke OJ, Nnadi C, Haladu SA, et al. Use of a District Health Information System 2 routine immunization dashboard for immunization programme monitoring and decision-making, Kano State, Nigeria. Pan African Medical Journal. 2021;40(Suppl 1):2. doi:10.11604/pamj.supp.2021.40.1.17313.</w:t>
      </w:r>
    </w:p>
    <w:p w14:paraId="1EA31FE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Tibshirani R. Regression shrinkage and selection via the lasso. Journal of the Royal Statistical Society: Series B (Methodological). 1996;58(1):267–288. doi:10.1111/j.2517-6161.1996.tb02080.x.</w:t>
      </w:r>
    </w:p>
    <w:p w14:paraId="45A992D1"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Umar HJ, Onah SI, Popoola O, Jibril HH, Oyewole F. Widening geographical inequities in DTP vaccination coverage and zero-dose prevalence across Nigeria: an ecological trend analysis, 2018–2024. Vaccines. 2025;13(11):1135. doi:10.3390/vaccines13111135.</w:t>
      </w:r>
    </w:p>
    <w:p w14:paraId="5B06A08B"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Child mortality: under-five mortality. New York: UNICEF Data; 2026.</w:t>
      </w:r>
    </w:p>
    <w:p w14:paraId="35E7639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Cold chain logistics and vaccine management. New York: UNICEF; 2023.</w:t>
      </w:r>
    </w:p>
    <w:p w14:paraId="4C52B0E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United Nations Children’s Fund. Vaccination and immunization statistics. New York: UNICEF Data; 2025.</w:t>
      </w:r>
    </w:p>
    <w:p w14:paraId="6B1A962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Aheto JMK, Wigley A, Tejedor-Garavito N, Dotse-Gborgbortsi W, Tatem AJ, et al. Geospatial variation in vaccination coverage and zero-dose prevalence at the district, ward and health-facility levels before and after a measles vaccination campaign in Nigeria. Vaccines. 2024;12(12):1299. doi:10.3390/vaccines12121299.</w:t>
      </w:r>
    </w:p>
    <w:p w14:paraId="0247FD2A"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Utazi CE, Megheib M, Olowe ID, Chaudhuri S, Tejedor-Garavito N, Mwinnyaa G, et al. Mapping DTP1, DTP3 and MCV1 coverage and zero-dose prevalence in Nigeria: a spatiotemporal analysis, 2000–2024. medRxiv [Preprint]. 2026. doi:10.64898/2026.01.19.26344414.</w:t>
      </w:r>
    </w:p>
    <w:p w14:paraId="74293EF4"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lastRenderedPageBreak/>
        <w:t>Wang D, Hollis A, Mercurio B. Armed conflict and child vaccination in Nigeria: the deprioritised preventive care. BMJ Global Health. 2025;10(10). doi:10.1136/bmjgh-2025-020322.</w:t>
      </w:r>
    </w:p>
    <w:p w14:paraId="3FD8D840"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Ward JH Jr. Hierarchical grouping to optimize an objective function. Journal of the American Statistical Association. 1963;58(301):236–244. doi:10.1080/01621459.1963.10500845.</w:t>
      </w:r>
    </w:p>
    <w:p w14:paraId="258F01DC"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Immunization Agenda 2030: a global strategy to leave no one behind. Geneva: World Health Organization; 2020.</w:t>
      </w:r>
    </w:p>
    <w:p w14:paraId="15A659DD"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United Nations Children’s Fund. WHO/UNICEF estimates of national immunization coverage: 2024 revision. Geneva and New York: World Health Organization and United Nations Children’s Fund; 2025.</w:t>
      </w:r>
    </w:p>
    <w:p w14:paraId="7E6AD568" w14:textId="77777777" w:rsidR="00035310"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Africa eradicates wild poliovirus. Brazzaville: World Health Organization Regional Office for Africa; 2020.</w:t>
      </w:r>
    </w:p>
    <w:p w14:paraId="224E0EFB" w14:textId="3B70DA5A" w:rsidR="007B3856" w:rsidRPr="00374D49" w:rsidRDefault="00035310" w:rsidP="00035310">
      <w:pPr>
        <w:spacing w:after="0" w:line="240" w:lineRule="auto"/>
        <w:ind w:left="360" w:hanging="360"/>
        <w:jc w:val="both"/>
        <w:rPr>
          <w:rFonts w:cs="Times New Roman"/>
          <w:color w:val="000000" w:themeColor="text1"/>
          <w:szCs w:val="24"/>
        </w:rPr>
      </w:pPr>
      <w:r>
        <w:rPr>
          <w:rFonts w:cs="Times New Roman"/>
          <w:color w:val="000000" w:themeColor="text1"/>
          <w:szCs w:val="24"/>
        </w:rPr>
        <w:t>World Health Organization Regional Office for Africa. Nigeria intensifies surveillance to sustain progress toward polio eradication. Brazzaville: World Health Organization Regional Office for Africa; 2025.</w:t>
      </w:r>
    </w:p>
    <w:p w14:paraId="2CFBCF71" w14:textId="77777777" w:rsidR="00684177" w:rsidRPr="00374D49" w:rsidRDefault="00684177" w:rsidP="00EE231D">
      <w:pPr>
        <w:spacing w:line="240" w:lineRule="auto"/>
        <w:jc w:val="both"/>
        <w:rPr>
          <w:rFonts w:cs="Times New Roman"/>
          <w:color w:val="000000" w:themeColor="text1"/>
          <w:szCs w:val="24"/>
        </w:rPr>
      </w:pPr>
    </w:p>
    <w:sectPr w:rsidR="00684177" w:rsidRPr="00374D49" w:rsidSect="00603C77">
      <w:footerReference w:type="default" r:id="rId5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4ECE4" w14:textId="77777777" w:rsidR="00402516" w:rsidRDefault="00402516" w:rsidP="00943E92">
      <w:pPr>
        <w:spacing w:after="0" w:line="240" w:lineRule="auto"/>
      </w:pPr>
      <w:r>
        <w:separator/>
      </w:r>
    </w:p>
  </w:endnote>
  <w:endnote w:type="continuationSeparator" w:id="0">
    <w:p w14:paraId="09130B67" w14:textId="77777777" w:rsidR="00402516" w:rsidRDefault="00402516" w:rsidP="0094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58BB2" w14:textId="77777777" w:rsidR="00603C77" w:rsidRPr="00603C77" w:rsidRDefault="00603C77">
    <w:pPr>
      <w:pStyle w:val="Footer"/>
      <w:jc w:val="right"/>
      <w:rPr>
        <w:color w:val="145831"/>
      </w:rPr>
    </w:pPr>
    <w:r w:rsidRPr="00603C77">
      <w:rPr>
        <w:color w:val="145831"/>
        <w:sz w:val="20"/>
        <w:szCs w:val="20"/>
      </w:rPr>
      <w:t xml:space="preserve">pg. </w:t>
    </w:r>
    <w:r w:rsidRPr="00603C77">
      <w:rPr>
        <w:color w:val="145831"/>
        <w:sz w:val="20"/>
        <w:szCs w:val="20"/>
      </w:rPr>
      <w:fldChar w:fldCharType="begin"/>
    </w:r>
    <w:r w:rsidRPr="00603C77">
      <w:rPr>
        <w:color w:val="145831"/>
        <w:sz w:val="20"/>
        <w:szCs w:val="20"/>
      </w:rPr>
      <w:instrText xml:space="preserve"> PAGE  \* Arabic </w:instrText>
    </w:r>
    <w:r w:rsidRPr="00603C77">
      <w:rPr>
        <w:color w:val="145831"/>
        <w:sz w:val="20"/>
        <w:szCs w:val="20"/>
      </w:rPr>
      <w:fldChar w:fldCharType="separate"/>
    </w:r>
    <w:r w:rsidRPr="00603C77">
      <w:rPr>
        <w:noProof/>
        <w:color w:val="145831"/>
        <w:sz w:val="20"/>
        <w:szCs w:val="20"/>
      </w:rPr>
      <w:t>1</w:t>
    </w:r>
    <w:r w:rsidRPr="00603C77">
      <w:rPr>
        <w:color w:val="145831"/>
        <w:sz w:val="20"/>
        <w:szCs w:val="20"/>
      </w:rPr>
      <w:fldChar w:fldCharType="end"/>
    </w:r>
  </w:p>
  <w:p w14:paraId="723702E8" w14:textId="77777777" w:rsidR="00603C77" w:rsidRDefault="00603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0C37C" w14:textId="77777777" w:rsidR="00402516" w:rsidRDefault="00402516" w:rsidP="00943E92">
      <w:pPr>
        <w:spacing w:after="0" w:line="240" w:lineRule="auto"/>
      </w:pPr>
      <w:r>
        <w:separator/>
      </w:r>
    </w:p>
  </w:footnote>
  <w:footnote w:type="continuationSeparator" w:id="0">
    <w:p w14:paraId="2A704F08" w14:textId="77777777" w:rsidR="00402516" w:rsidRDefault="00402516" w:rsidP="00943E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94BF9"/>
    <w:multiLevelType w:val="hybridMultilevel"/>
    <w:tmpl w:val="A72E0704"/>
    <w:lvl w:ilvl="0" w:tplc="A59A891E">
      <w:start w:val="1"/>
      <w:numFmt w:val="bullet"/>
      <w:lvlText w:val="●"/>
      <w:lvlJc w:val="left"/>
      <w:pPr>
        <w:ind w:left="720" w:hanging="360"/>
      </w:pPr>
    </w:lvl>
    <w:lvl w:ilvl="1" w:tplc="B8F2B7B4">
      <w:start w:val="1"/>
      <w:numFmt w:val="bullet"/>
      <w:lvlText w:val="○"/>
      <w:lvlJc w:val="left"/>
      <w:pPr>
        <w:ind w:left="1440" w:hanging="360"/>
      </w:pPr>
    </w:lvl>
    <w:lvl w:ilvl="2" w:tplc="25B2A342">
      <w:start w:val="1"/>
      <w:numFmt w:val="bullet"/>
      <w:lvlText w:val="■"/>
      <w:lvlJc w:val="left"/>
      <w:pPr>
        <w:ind w:left="2160" w:hanging="360"/>
      </w:pPr>
    </w:lvl>
    <w:lvl w:ilvl="3" w:tplc="B13CC992">
      <w:start w:val="1"/>
      <w:numFmt w:val="bullet"/>
      <w:lvlText w:val="●"/>
      <w:lvlJc w:val="left"/>
      <w:pPr>
        <w:ind w:left="2880" w:hanging="360"/>
      </w:pPr>
    </w:lvl>
    <w:lvl w:ilvl="4" w:tplc="93407F24">
      <w:start w:val="1"/>
      <w:numFmt w:val="bullet"/>
      <w:lvlText w:val="○"/>
      <w:lvlJc w:val="left"/>
      <w:pPr>
        <w:ind w:left="3600" w:hanging="360"/>
      </w:pPr>
    </w:lvl>
    <w:lvl w:ilvl="5" w:tplc="2070C140">
      <w:start w:val="1"/>
      <w:numFmt w:val="bullet"/>
      <w:lvlText w:val="■"/>
      <w:lvlJc w:val="left"/>
      <w:pPr>
        <w:ind w:left="4320" w:hanging="360"/>
      </w:pPr>
    </w:lvl>
    <w:lvl w:ilvl="6" w:tplc="66961ADE">
      <w:start w:val="1"/>
      <w:numFmt w:val="bullet"/>
      <w:lvlText w:val="●"/>
      <w:lvlJc w:val="left"/>
      <w:pPr>
        <w:ind w:left="5040" w:hanging="360"/>
      </w:pPr>
    </w:lvl>
    <w:lvl w:ilvl="7" w:tplc="F712FBDA">
      <w:start w:val="1"/>
      <w:numFmt w:val="bullet"/>
      <w:lvlText w:val="●"/>
      <w:lvlJc w:val="left"/>
      <w:pPr>
        <w:ind w:left="5760" w:hanging="360"/>
      </w:pPr>
    </w:lvl>
    <w:lvl w:ilvl="8" w:tplc="93C2E4B6">
      <w:start w:val="1"/>
      <w:numFmt w:val="bullet"/>
      <w:lvlText w:val="●"/>
      <w:lvlJc w:val="left"/>
      <w:pPr>
        <w:ind w:left="6480" w:hanging="360"/>
      </w:pPr>
    </w:lvl>
  </w:abstractNum>
  <w:abstractNum w:abstractNumId="1" w15:restartNumberingAfterBreak="0">
    <w:nsid w:val="6BF86664"/>
    <w:multiLevelType w:val="hybridMultilevel"/>
    <w:tmpl w:val="B2889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DD5CCD"/>
    <w:multiLevelType w:val="hybridMultilevel"/>
    <w:tmpl w:val="F148E812"/>
    <w:lvl w:ilvl="0" w:tplc="A8CE6EB0">
      <w:start w:val="1"/>
      <w:numFmt w:val="bullet"/>
      <w:lvlText w:val="•"/>
      <w:lvlJc w:val="left"/>
      <w:pPr>
        <w:ind w:left="480" w:hanging="240"/>
      </w:pPr>
    </w:lvl>
    <w:lvl w:ilvl="1" w:tplc="EB2C85E6">
      <w:start w:val="1"/>
      <w:numFmt w:val="bullet"/>
      <w:lvlText w:val="◦"/>
      <w:lvlJc w:val="left"/>
      <w:pPr>
        <w:ind w:left="960" w:hanging="240"/>
      </w:pPr>
    </w:lvl>
    <w:lvl w:ilvl="2" w:tplc="6200F77E">
      <w:numFmt w:val="decimal"/>
      <w:lvlText w:val=""/>
      <w:lvlJc w:val="left"/>
    </w:lvl>
    <w:lvl w:ilvl="3" w:tplc="56D8FCD0">
      <w:numFmt w:val="decimal"/>
      <w:lvlText w:val=""/>
      <w:lvlJc w:val="left"/>
    </w:lvl>
    <w:lvl w:ilvl="4" w:tplc="6C3CD44E">
      <w:numFmt w:val="decimal"/>
      <w:lvlText w:val=""/>
      <w:lvlJc w:val="left"/>
    </w:lvl>
    <w:lvl w:ilvl="5" w:tplc="41189F58">
      <w:numFmt w:val="decimal"/>
      <w:lvlText w:val=""/>
      <w:lvlJc w:val="left"/>
    </w:lvl>
    <w:lvl w:ilvl="6" w:tplc="696A6224">
      <w:numFmt w:val="decimal"/>
      <w:lvlText w:val=""/>
      <w:lvlJc w:val="left"/>
    </w:lvl>
    <w:lvl w:ilvl="7" w:tplc="9E2A5A34">
      <w:numFmt w:val="decimal"/>
      <w:lvlText w:val=""/>
      <w:lvlJc w:val="left"/>
    </w:lvl>
    <w:lvl w:ilvl="8" w:tplc="EAF079F0">
      <w:numFmt w:val="decimal"/>
      <w:lvlText w:val=""/>
      <w:lvlJc w:val="left"/>
    </w:lvl>
  </w:abstractNum>
  <w:abstractNum w:abstractNumId="3" w15:restartNumberingAfterBreak="0">
    <w:nsid w:val="70426F99"/>
    <w:multiLevelType w:val="hybridMultilevel"/>
    <w:tmpl w:val="0AA4A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9033796">
    <w:abstractNumId w:val="2"/>
    <w:lvlOverride w:ilvl="0">
      <w:startOverride w:val="1"/>
    </w:lvlOverride>
  </w:num>
  <w:num w:numId="2" w16cid:durableId="746651985">
    <w:abstractNumId w:val="0"/>
    <w:lvlOverride w:ilvl="0">
      <w:startOverride w:val="1"/>
    </w:lvlOverride>
  </w:num>
  <w:num w:numId="3" w16cid:durableId="1777945013">
    <w:abstractNumId w:val="3"/>
  </w:num>
  <w:num w:numId="4" w16cid:durableId="50490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12"/>
    <w:rsid w:val="000152D0"/>
    <w:rsid w:val="000272C2"/>
    <w:rsid w:val="00031310"/>
    <w:rsid w:val="00031B54"/>
    <w:rsid w:val="00035310"/>
    <w:rsid w:val="00040340"/>
    <w:rsid w:val="00041A2B"/>
    <w:rsid w:val="00042D68"/>
    <w:rsid w:val="00044786"/>
    <w:rsid w:val="00066237"/>
    <w:rsid w:val="0006798B"/>
    <w:rsid w:val="0007178F"/>
    <w:rsid w:val="000A30CD"/>
    <w:rsid w:val="000C29F9"/>
    <w:rsid w:val="000D12F8"/>
    <w:rsid w:val="000E0E1E"/>
    <w:rsid w:val="000E289E"/>
    <w:rsid w:val="00102594"/>
    <w:rsid w:val="001163C5"/>
    <w:rsid w:val="0011646F"/>
    <w:rsid w:val="00126262"/>
    <w:rsid w:val="00135324"/>
    <w:rsid w:val="00142369"/>
    <w:rsid w:val="00145407"/>
    <w:rsid w:val="0014705D"/>
    <w:rsid w:val="00150C67"/>
    <w:rsid w:val="0015214E"/>
    <w:rsid w:val="00152B86"/>
    <w:rsid w:val="00154C52"/>
    <w:rsid w:val="0018205B"/>
    <w:rsid w:val="00186B04"/>
    <w:rsid w:val="00187F8B"/>
    <w:rsid w:val="001903D8"/>
    <w:rsid w:val="00196EFB"/>
    <w:rsid w:val="001B2F9B"/>
    <w:rsid w:val="001B6209"/>
    <w:rsid w:val="001C31B8"/>
    <w:rsid w:val="001F59AA"/>
    <w:rsid w:val="00203D70"/>
    <w:rsid w:val="00250B0C"/>
    <w:rsid w:val="00256D85"/>
    <w:rsid w:val="0029419D"/>
    <w:rsid w:val="002A6853"/>
    <w:rsid w:val="002B31DC"/>
    <w:rsid w:val="002B7BD8"/>
    <w:rsid w:val="002D60EC"/>
    <w:rsid w:val="002E480A"/>
    <w:rsid w:val="00311456"/>
    <w:rsid w:val="00312FD9"/>
    <w:rsid w:val="00347316"/>
    <w:rsid w:val="003504C3"/>
    <w:rsid w:val="00355666"/>
    <w:rsid w:val="00370D41"/>
    <w:rsid w:val="00374D49"/>
    <w:rsid w:val="00384ABA"/>
    <w:rsid w:val="00385320"/>
    <w:rsid w:val="00391BE4"/>
    <w:rsid w:val="00393218"/>
    <w:rsid w:val="00395D03"/>
    <w:rsid w:val="003968DA"/>
    <w:rsid w:val="00396E14"/>
    <w:rsid w:val="003A7A56"/>
    <w:rsid w:val="003B095F"/>
    <w:rsid w:val="003B31A7"/>
    <w:rsid w:val="003B498F"/>
    <w:rsid w:val="003C343E"/>
    <w:rsid w:val="003D146D"/>
    <w:rsid w:val="003E127F"/>
    <w:rsid w:val="003E5D66"/>
    <w:rsid w:val="00402516"/>
    <w:rsid w:val="00435904"/>
    <w:rsid w:val="0044134E"/>
    <w:rsid w:val="00443C3C"/>
    <w:rsid w:val="00447003"/>
    <w:rsid w:val="00452EB3"/>
    <w:rsid w:val="00453FC0"/>
    <w:rsid w:val="0047404A"/>
    <w:rsid w:val="00476277"/>
    <w:rsid w:val="00477194"/>
    <w:rsid w:val="00495DE5"/>
    <w:rsid w:val="004A1196"/>
    <w:rsid w:val="004C0ABE"/>
    <w:rsid w:val="004D28E7"/>
    <w:rsid w:val="004F07CF"/>
    <w:rsid w:val="004F383E"/>
    <w:rsid w:val="005047B1"/>
    <w:rsid w:val="00505E33"/>
    <w:rsid w:val="00552682"/>
    <w:rsid w:val="0055441F"/>
    <w:rsid w:val="0056378F"/>
    <w:rsid w:val="00582525"/>
    <w:rsid w:val="005A2AD3"/>
    <w:rsid w:val="005B3601"/>
    <w:rsid w:val="005C2984"/>
    <w:rsid w:val="005E5396"/>
    <w:rsid w:val="005E579C"/>
    <w:rsid w:val="00602740"/>
    <w:rsid w:val="00603C77"/>
    <w:rsid w:val="00610EF6"/>
    <w:rsid w:val="00626932"/>
    <w:rsid w:val="00631074"/>
    <w:rsid w:val="00632B96"/>
    <w:rsid w:val="006335DA"/>
    <w:rsid w:val="00637C5E"/>
    <w:rsid w:val="00642F4E"/>
    <w:rsid w:val="006462F2"/>
    <w:rsid w:val="006673C8"/>
    <w:rsid w:val="0067393D"/>
    <w:rsid w:val="00680FEF"/>
    <w:rsid w:val="00684177"/>
    <w:rsid w:val="006A6CAE"/>
    <w:rsid w:val="006B6AF2"/>
    <w:rsid w:val="006B6FA6"/>
    <w:rsid w:val="006C444D"/>
    <w:rsid w:val="006D0052"/>
    <w:rsid w:val="006E6562"/>
    <w:rsid w:val="006F4268"/>
    <w:rsid w:val="006F5F85"/>
    <w:rsid w:val="00722494"/>
    <w:rsid w:val="00723C39"/>
    <w:rsid w:val="0073789F"/>
    <w:rsid w:val="007435B9"/>
    <w:rsid w:val="007445E5"/>
    <w:rsid w:val="00745E2A"/>
    <w:rsid w:val="0075215A"/>
    <w:rsid w:val="00754DD9"/>
    <w:rsid w:val="00787355"/>
    <w:rsid w:val="00794C99"/>
    <w:rsid w:val="007B3856"/>
    <w:rsid w:val="007C63AC"/>
    <w:rsid w:val="007E0F51"/>
    <w:rsid w:val="007F0FA1"/>
    <w:rsid w:val="007F23DC"/>
    <w:rsid w:val="00801ED3"/>
    <w:rsid w:val="00802510"/>
    <w:rsid w:val="00802D8E"/>
    <w:rsid w:val="00850CCB"/>
    <w:rsid w:val="008668A0"/>
    <w:rsid w:val="00881078"/>
    <w:rsid w:val="008959A6"/>
    <w:rsid w:val="0089705A"/>
    <w:rsid w:val="008A11F6"/>
    <w:rsid w:val="008B2675"/>
    <w:rsid w:val="008B26A0"/>
    <w:rsid w:val="008B3627"/>
    <w:rsid w:val="008C2A58"/>
    <w:rsid w:val="008C3F12"/>
    <w:rsid w:val="008D6D19"/>
    <w:rsid w:val="008E1E78"/>
    <w:rsid w:val="008E3415"/>
    <w:rsid w:val="008E590A"/>
    <w:rsid w:val="008F086C"/>
    <w:rsid w:val="00900357"/>
    <w:rsid w:val="00900794"/>
    <w:rsid w:val="00906CA4"/>
    <w:rsid w:val="00911BA3"/>
    <w:rsid w:val="00923557"/>
    <w:rsid w:val="00943E92"/>
    <w:rsid w:val="00946A76"/>
    <w:rsid w:val="00951EB0"/>
    <w:rsid w:val="00965993"/>
    <w:rsid w:val="009A0014"/>
    <w:rsid w:val="009A0D57"/>
    <w:rsid w:val="009A2CBE"/>
    <w:rsid w:val="009A4AE6"/>
    <w:rsid w:val="009B507C"/>
    <w:rsid w:val="009C1449"/>
    <w:rsid w:val="009D0A68"/>
    <w:rsid w:val="009D2B43"/>
    <w:rsid w:val="009D346F"/>
    <w:rsid w:val="009E00D8"/>
    <w:rsid w:val="00A127D4"/>
    <w:rsid w:val="00A14F73"/>
    <w:rsid w:val="00A17049"/>
    <w:rsid w:val="00A25747"/>
    <w:rsid w:val="00A330BE"/>
    <w:rsid w:val="00A4722D"/>
    <w:rsid w:val="00A635A8"/>
    <w:rsid w:val="00A801F7"/>
    <w:rsid w:val="00A8790F"/>
    <w:rsid w:val="00A96232"/>
    <w:rsid w:val="00AA2011"/>
    <w:rsid w:val="00AA2057"/>
    <w:rsid w:val="00AA47CC"/>
    <w:rsid w:val="00AB33AC"/>
    <w:rsid w:val="00AF0C36"/>
    <w:rsid w:val="00B137DF"/>
    <w:rsid w:val="00B13A6B"/>
    <w:rsid w:val="00B15C67"/>
    <w:rsid w:val="00B1752C"/>
    <w:rsid w:val="00B24A12"/>
    <w:rsid w:val="00B259ED"/>
    <w:rsid w:val="00B33920"/>
    <w:rsid w:val="00B35C26"/>
    <w:rsid w:val="00B35F61"/>
    <w:rsid w:val="00B45197"/>
    <w:rsid w:val="00B74D80"/>
    <w:rsid w:val="00B93929"/>
    <w:rsid w:val="00B941FD"/>
    <w:rsid w:val="00BD3CEC"/>
    <w:rsid w:val="00BD7087"/>
    <w:rsid w:val="00BD7B34"/>
    <w:rsid w:val="00C019AB"/>
    <w:rsid w:val="00C0444C"/>
    <w:rsid w:val="00C05F7A"/>
    <w:rsid w:val="00C15CE2"/>
    <w:rsid w:val="00C24B12"/>
    <w:rsid w:val="00C27002"/>
    <w:rsid w:val="00C3170F"/>
    <w:rsid w:val="00C45141"/>
    <w:rsid w:val="00C5668A"/>
    <w:rsid w:val="00C622F1"/>
    <w:rsid w:val="00C7036A"/>
    <w:rsid w:val="00C77812"/>
    <w:rsid w:val="00C82255"/>
    <w:rsid w:val="00C82941"/>
    <w:rsid w:val="00C86B3E"/>
    <w:rsid w:val="00CA2644"/>
    <w:rsid w:val="00CC46FA"/>
    <w:rsid w:val="00CC4E8D"/>
    <w:rsid w:val="00CC7CFA"/>
    <w:rsid w:val="00CD1037"/>
    <w:rsid w:val="00CD3A19"/>
    <w:rsid w:val="00CE5F2C"/>
    <w:rsid w:val="00CE7B6F"/>
    <w:rsid w:val="00CF49A7"/>
    <w:rsid w:val="00CF5A1B"/>
    <w:rsid w:val="00D17147"/>
    <w:rsid w:val="00D23F16"/>
    <w:rsid w:val="00D24074"/>
    <w:rsid w:val="00D34636"/>
    <w:rsid w:val="00D4338A"/>
    <w:rsid w:val="00D642F4"/>
    <w:rsid w:val="00D81C6F"/>
    <w:rsid w:val="00D83933"/>
    <w:rsid w:val="00D85204"/>
    <w:rsid w:val="00D916EA"/>
    <w:rsid w:val="00DA052A"/>
    <w:rsid w:val="00DA0F70"/>
    <w:rsid w:val="00DA3769"/>
    <w:rsid w:val="00DA377E"/>
    <w:rsid w:val="00DA41B6"/>
    <w:rsid w:val="00DC096F"/>
    <w:rsid w:val="00DC2939"/>
    <w:rsid w:val="00DC2A60"/>
    <w:rsid w:val="00DC64B0"/>
    <w:rsid w:val="00DD5037"/>
    <w:rsid w:val="00DF2ACA"/>
    <w:rsid w:val="00E10B12"/>
    <w:rsid w:val="00E12035"/>
    <w:rsid w:val="00E2501E"/>
    <w:rsid w:val="00E273B5"/>
    <w:rsid w:val="00E372AF"/>
    <w:rsid w:val="00E5061D"/>
    <w:rsid w:val="00E61974"/>
    <w:rsid w:val="00E638D4"/>
    <w:rsid w:val="00E70ADC"/>
    <w:rsid w:val="00E71141"/>
    <w:rsid w:val="00E836FC"/>
    <w:rsid w:val="00E844D7"/>
    <w:rsid w:val="00EA046B"/>
    <w:rsid w:val="00EC5710"/>
    <w:rsid w:val="00ED3119"/>
    <w:rsid w:val="00EE231D"/>
    <w:rsid w:val="00EE757E"/>
    <w:rsid w:val="00EF6D62"/>
    <w:rsid w:val="00F06180"/>
    <w:rsid w:val="00F266D7"/>
    <w:rsid w:val="00F30AD7"/>
    <w:rsid w:val="00F53A99"/>
    <w:rsid w:val="00F57C5F"/>
    <w:rsid w:val="00F67531"/>
    <w:rsid w:val="00F7143D"/>
    <w:rsid w:val="00F80949"/>
    <w:rsid w:val="00F814B7"/>
    <w:rsid w:val="00F81F18"/>
    <w:rsid w:val="00F837A0"/>
    <w:rsid w:val="00F87ACE"/>
    <w:rsid w:val="00FB2C36"/>
    <w:rsid w:val="00FC4CE8"/>
    <w:rsid w:val="00FC6635"/>
    <w:rsid w:val="00FD1F2C"/>
    <w:rsid w:val="00FD22E4"/>
    <w:rsid w:val="00FD4A5B"/>
    <w:rsid w:val="00FD5D27"/>
    <w:rsid w:val="00FE3B4A"/>
    <w:rsid w:val="00FE4019"/>
    <w:rsid w:val="00FF1313"/>
    <w:rsid w:val="00FF2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0215F"/>
  <w15:chartTrackingRefBased/>
  <w15:docId w15:val="{109F048A-71AF-4E3A-B9BD-784981870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F12"/>
    <w:rPr>
      <w:rFonts w:ascii="Times New Roman" w:hAnsi="Times New Roman"/>
      <w:sz w:val="24"/>
    </w:rPr>
  </w:style>
  <w:style w:type="paragraph" w:styleId="Heading1">
    <w:name w:val="heading 1"/>
    <w:basedOn w:val="Normal"/>
    <w:next w:val="Normal"/>
    <w:link w:val="Heading1Char"/>
    <w:autoRedefine/>
    <w:uiPriority w:val="9"/>
    <w:qFormat/>
    <w:rsid w:val="00F814B7"/>
    <w:pPr>
      <w:keepNext/>
      <w:keepLines/>
      <w:spacing w:before="240" w:after="0" w:line="360" w:lineRule="auto"/>
      <w:jc w:val="both"/>
      <w:outlineLvl w:val="0"/>
    </w:pPr>
    <w:rPr>
      <w:rFonts w:eastAsiaTheme="majorEastAsia"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900794"/>
    <w:pPr>
      <w:keepNext/>
      <w:keepLines/>
      <w:spacing w:before="40" w:after="0" w:line="240" w:lineRule="auto"/>
      <w:jc w:val="both"/>
      <w:outlineLvl w:val="1"/>
    </w:pPr>
    <w:rPr>
      <w:rFonts w:eastAsiaTheme="majorEastAsia" w:cs="Times New Roman"/>
      <w:b/>
      <w:bCs/>
      <w:iCs/>
      <w:color w:val="000000" w:themeColor="text1"/>
      <w:sz w:val="28"/>
      <w:szCs w:val="18"/>
    </w:rPr>
  </w:style>
  <w:style w:type="paragraph" w:styleId="Heading3">
    <w:name w:val="heading 3"/>
    <w:basedOn w:val="Normal"/>
    <w:next w:val="Normal"/>
    <w:link w:val="Heading3Char"/>
    <w:autoRedefine/>
    <w:uiPriority w:val="9"/>
    <w:unhideWhenUsed/>
    <w:qFormat/>
    <w:rsid w:val="00F814B7"/>
    <w:pPr>
      <w:keepNext/>
      <w:keepLines/>
      <w:spacing w:before="40" w:after="0"/>
      <w:outlineLvl w:val="2"/>
    </w:pPr>
    <w:rPr>
      <w:rFonts w:eastAsiaTheme="majorEastAsia" w:cstheme="majorBidi"/>
      <w:b/>
      <w:color w:val="000000" w:themeColor="text1"/>
      <w:szCs w:val="24"/>
    </w:rPr>
  </w:style>
  <w:style w:type="paragraph" w:styleId="Heading4">
    <w:name w:val="heading 4"/>
    <w:link w:val="Heading4Char"/>
    <w:autoRedefine/>
    <w:uiPriority w:val="9"/>
    <w:unhideWhenUsed/>
    <w:qFormat/>
    <w:rsid w:val="00923557"/>
    <w:pPr>
      <w:spacing w:after="0" w:line="240" w:lineRule="auto"/>
      <w:jc w:val="both"/>
      <w:outlineLvl w:val="3"/>
    </w:pPr>
    <w:rPr>
      <w:rFonts w:ascii="Times New Roman" w:eastAsia="Times New Roman" w:hAnsi="Times New Roman" w:cs="Times New Roman"/>
      <w:b/>
      <w:iCs/>
      <w:color w:val="000000" w:themeColor="text1"/>
      <w:sz w:val="24"/>
      <w:szCs w:val="21"/>
    </w:rPr>
  </w:style>
  <w:style w:type="paragraph" w:styleId="Heading5">
    <w:name w:val="heading 5"/>
    <w:link w:val="Heading5Char"/>
    <w:uiPriority w:val="9"/>
    <w:semiHidden/>
    <w:unhideWhenUsed/>
    <w:qFormat/>
    <w:rsid w:val="007445E5"/>
    <w:pPr>
      <w:spacing w:after="0" w:line="240" w:lineRule="auto"/>
      <w:outlineLvl w:val="4"/>
    </w:pPr>
    <w:rPr>
      <w:rFonts w:ascii="Times New Roman" w:eastAsia="Times New Roman" w:hAnsi="Times New Roman" w:cs="Times New Roman"/>
      <w:color w:val="2E74B5"/>
      <w:sz w:val="21"/>
      <w:szCs w:val="21"/>
    </w:rPr>
  </w:style>
  <w:style w:type="paragraph" w:styleId="Heading6">
    <w:name w:val="heading 6"/>
    <w:link w:val="Heading6Char"/>
    <w:uiPriority w:val="9"/>
    <w:semiHidden/>
    <w:unhideWhenUsed/>
    <w:qFormat/>
    <w:rsid w:val="007445E5"/>
    <w:pPr>
      <w:spacing w:after="0" w:line="240" w:lineRule="auto"/>
      <w:outlineLvl w:val="5"/>
    </w:pPr>
    <w:rPr>
      <w:rFonts w:ascii="Times New Roman" w:eastAsia="Times New Roman" w:hAnsi="Times New Roman" w:cs="Times New Roman"/>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4B7"/>
    <w:rPr>
      <w:rFonts w:ascii="Times New Roman" w:eastAsiaTheme="majorEastAsia" w:hAnsi="Times New Roman" w:cs="Times New Roman"/>
      <w:b/>
      <w:color w:val="000000" w:themeColor="text1"/>
      <w:sz w:val="32"/>
      <w:szCs w:val="24"/>
    </w:rPr>
  </w:style>
  <w:style w:type="character" w:customStyle="1" w:styleId="Heading2Char">
    <w:name w:val="Heading 2 Char"/>
    <w:basedOn w:val="DefaultParagraphFont"/>
    <w:link w:val="Heading2"/>
    <w:uiPriority w:val="9"/>
    <w:rsid w:val="00900794"/>
    <w:rPr>
      <w:rFonts w:ascii="Times New Roman" w:eastAsiaTheme="majorEastAsia" w:hAnsi="Times New Roman" w:cs="Times New Roman"/>
      <w:b/>
      <w:bCs/>
      <w:iCs/>
      <w:color w:val="000000" w:themeColor="text1"/>
      <w:sz w:val="28"/>
      <w:szCs w:val="18"/>
      <w:lang w:val="en-US"/>
    </w:rPr>
  </w:style>
  <w:style w:type="paragraph" w:styleId="NormalWeb">
    <w:name w:val="Normal (Web)"/>
    <w:basedOn w:val="Normal"/>
    <w:uiPriority w:val="99"/>
    <w:semiHidden/>
    <w:unhideWhenUsed/>
    <w:rsid w:val="00E638D4"/>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rsid w:val="00F814B7"/>
    <w:rPr>
      <w:rFonts w:ascii="Times New Roman" w:eastAsiaTheme="majorEastAsia" w:hAnsi="Times New Roman" w:cstheme="majorBidi"/>
      <w:b/>
      <w:color w:val="000000" w:themeColor="text1"/>
      <w:sz w:val="24"/>
      <w:szCs w:val="24"/>
    </w:rPr>
  </w:style>
  <w:style w:type="paragraph" w:customStyle="1" w:styleId="font-claude-response-body">
    <w:name w:val="font-claude-response-body"/>
    <w:basedOn w:val="Normal"/>
    <w:rsid w:val="001163C5"/>
    <w:pPr>
      <w:spacing w:before="100" w:beforeAutospacing="1" w:after="100" w:afterAutospacing="1" w:line="240" w:lineRule="auto"/>
    </w:pPr>
    <w:rPr>
      <w:rFonts w:eastAsia="Times New Roman" w:cs="Times New Roman"/>
      <w:szCs w:val="24"/>
    </w:rPr>
  </w:style>
  <w:style w:type="character" w:customStyle="1" w:styleId="absolute">
    <w:name w:val="absolute"/>
    <w:basedOn w:val="DefaultParagraphFont"/>
    <w:rsid w:val="001163C5"/>
  </w:style>
  <w:style w:type="character" w:customStyle="1" w:styleId="inline-flex">
    <w:name w:val="inline-flex"/>
    <w:basedOn w:val="DefaultParagraphFont"/>
    <w:rsid w:val="001163C5"/>
  </w:style>
  <w:style w:type="character" w:customStyle="1" w:styleId="transition-all">
    <w:name w:val="transition-all"/>
    <w:basedOn w:val="DefaultParagraphFont"/>
    <w:rsid w:val="001163C5"/>
  </w:style>
  <w:style w:type="paragraph" w:styleId="ListParagraph">
    <w:name w:val="List Paragraph"/>
    <w:uiPriority w:val="34"/>
    <w:qFormat/>
    <w:rsid w:val="002E480A"/>
    <w:pPr>
      <w:spacing w:after="0" w:line="240" w:lineRule="auto"/>
    </w:pPr>
    <w:rPr>
      <w:rFonts w:ascii="Times New Roman" w:eastAsia="Times New Roman" w:hAnsi="Times New Roman" w:cs="Times New Roman"/>
      <w:color w:val="222222"/>
      <w:sz w:val="21"/>
      <w:szCs w:val="21"/>
    </w:rPr>
  </w:style>
  <w:style w:type="character" w:customStyle="1" w:styleId="Heading4Char">
    <w:name w:val="Heading 4 Char"/>
    <w:basedOn w:val="DefaultParagraphFont"/>
    <w:link w:val="Heading4"/>
    <w:uiPriority w:val="9"/>
    <w:rsid w:val="00923557"/>
    <w:rPr>
      <w:rFonts w:ascii="Times New Roman" w:eastAsia="Times New Roman" w:hAnsi="Times New Roman" w:cs="Times New Roman"/>
      <w:b/>
      <w:iCs/>
      <w:color w:val="000000" w:themeColor="text1"/>
      <w:sz w:val="24"/>
      <w:szCs w:val="21"/>
    </w:rPr>
  </w:style>
  <w:style w:type="character" w:customStyle="1" w:styleId="Heading5Char">
    <w:name w:val="Heading 5 Char"/>
    <w:basedOn w:val="DefaultParagraphFont"/>
    <w:link w:val="Heading5"/>
    <w:uiPriority w:val="9"/>
    <w:semiHidden/>
    <w:rsid w:val="007445E5"/>
    <w:rPr>
      <w:rFonts w:ascii="Times New Roman" w:eastAsia="Times New Roman" w:hAnsi="Times New Roman" w:cs="Times New Roman"/>
      <w:color w:val="2E74B5"/>
      <w:sz w:val="21"/>
      <w:szCs w:val="21"/>
    </w:rPr>
  </w:style>
  <w:style w:type="character" w:customStyle="1" w:styleId="Heading6Char">
    <w:name w:val="Heading 6 Char"/>
    <w:basedOn w:val="DefaultParagraphFont"/>
    <w:link w:val="Heading6"/>
    <w:uiPriority w:val="9"/>
    <w:semiHidden/>
    <w:rsid w:val="007445E5"/>
    <w:rPr>
      <w:rFonts w:ascii="Times New Roman" w:eastAsia="Times New Roman" w:hAnsi="Times New Roman" w:cs="Times New Roman"/>
      <w:color w:val="1F4D78"/>
      <w:sz w:val="21"/>
      <w:szCs w:val="21"/>
    </w:rPr>
  </w:style>
  <w:style w:type="paragraph" w:styleId="Title">
    <w:name w:val="Title"/>
    <w:link w:val="TitleChar"/>
    <w:uiPriority w:val="10"/>
    <w:qFormat/>
    <w:rsid w:val="007445E5"/>
    <w:pPr>
      <w:spacing w:after="0" w:line="240" w:lineRule="auto"/>
    </w:pPr>
    <w:rPr>
      <w:rFonts w:ascii="Times New Roman" w:eastAsia="Times New Roman" w:hAnsi="Times New Roman" w:cs="Times New Roman"/>
      <w:color w:val="222222"/>
      <w:sz w:val="56"/>
      <w:szCs w:val="56"/>
    </w:rPr>
  </w:style>
  <w:style w:type="character" w:customStyle="1" w:styleId="TitleChar">
    <w:name w:val="Title Char"/>
    <w:basedOn w:val="DefaultParagraphFont"/>
    <w:link w:val="Title"/>
    <w:uiPriority w:val="10"/>
    <w:rsid w:val="007445E5"/>
    <w:rPr>
      <w:rFonts w:ascii="Times New Roman" w:eastAsia="Times New Roman" w:hAnsi="Times New Roman" w:cs="Times New Roman"/>
      <w:color w:val="222222"/>
      <w:sz w:val="56"/>
      <w:szCs w:val="56"/>
    </w:rPr>
  </w:style>
  <w:style w:type="paragraph" w:customStyle="1" w:styleId="Strong1">
    <w:name w:val="Strong1"/>
    <w:qFormat/>
    <w:rsid w:val="007445E5"/>
    <w:pPr>
      <w:spacing w:after="0" w:line="240" w:lineRule="auto"/>
    </w:pPr>
    <w:rPr>
      <w:rFonts w:ascii="Times New Roman" w:eastAsia="Times New Roman" w:hAnsi="Times New Roman" w:cs="Times New Roman"/>
      <w:b/>
      <w:bCs/>
      <w:color w:val="222222"/>
      <w:sz w:val="21"/>
      <w:szCs w:val="21"/>
    </w:rPr>
  </w:style>
  <w:style w:type="character" w:styleId="Hyperlink">
    <w:name w:val="Hyperlink"/>
    <w:uiPriority w:val="99"/>
    <w:unhideWhenUsed/>
    <w:rsid w:val="007445E5"/>
    <w:rPr>
      <w:color w:val="0563C1"/>
      <w:u w:val="single"/>
    </w:rPr>
  </w:style>
  <w:style w:type="character" w:styleId="FootnoteReference">
    <w:name w:val="footnote reference"/>
    <w:uiPriority w:val="99"/>
    <w:semiHidden/>
    <w:unhideWhenUsed/>
    <w:rsid w:val="007445E5"/>
    <w:rPr>
      <w:vertAlign w:val="superscript"/>
    </w:rPr>
  </w:style>
  <w:style w:type="paragraph" w:styleId="FootnoteText">
    <w:name w:val="footnote text"/>
    <w:link w:val="Foot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FootnoteTextChar">
    <w:name w:val="Footnote Text Char"/>
    <w:basedOn w:val="DefaultParagraphFont"/>
    <w:link w:val="FootnoteText"/>
    <w:uiPriority w:val="99"/>
    <w:semiHidden/>
    <w:rsid w:val="007445E5"/>
    <w:rPr>
      <w:rFonts w:ascii="Times New Roman" w:eastAsia="Times New Roman" w:hAnsi="Times New Roman" w:cs="Times New Roman"/>
      <w:color w:val="222222"/>
      <w:sz w:val="20"/>
      <w:szCs w:val="20"/>
    </w:rPr>
  </w:style>
  <w:style w:type="character" w:styleId="EndnoteReference">
    <w:name w:val="endnote reference"/>
    <w:uiPriority w:val="99"/>
    <w:semiHidden/>
    <w:unhideWhenUsed/>
    <w:rsid w:val="007445E5"/>
    <w:rPr>
      <w:vertAlign w:val="superscript"/>
    </w:rPr>
  </w:style>
  <w:style w:type="paragraph" w:styleId="EndnoteText">
    <w:name w:val="endnote text"/>
    <w:link w:val="EndnoteTextChar"/>
    <w:uiPriority w:val="99"/>
    <w:semiHidden/>
    <w:unhideWhenUsed/>
    <w:rsid w:val="007445E5"/>
    <w:pPr>
      <w:spacing w:after="0" w:line="240" w:lineRule="auto"/>
    </w:pPr>
    <w:rPr>
      <w:rFonts w:ascii="Times New Roman" w:eastAsia="Times New Roman" w:hAnsi="Times New Roman" w:cs="Times New Roman"/>
      <w:color w:val="222222"/>
      <w:sz w:val="20"/>
      <w:szCs w:val="20"/>
    </w:rPr>
  </w:style>
  <w:style w:type="character" w:customStyle="1" w:styleId="EndnoteTextChar">
    <w:name w:val="Endnote Text Char"/>
    <w:basedOn w:val="DefaultParagraphFont"/>
    <w:link w:val="EndnoteText"/>
    <w:uiPriority w:val="99"/>
    <w:semiHidden/>
    <w:rsid w:val="007445E5"/>
    <w:rPr>
      <w:rFonts w:ascii="Times New Roman" w:eastAsia="Times New Roman" w:hAnsi="Times New Roman" w:cs="Times New Roman"/>
      <w:color w:val="222222"/>
      <w:sz w:val="20"/>
      <w:szCs w:val="20"/>
    </w:rPr>
  </w:style>
  <w:style w:type="paragraph" w:styleId="Header">
    <w:name w:val="header"/>
    <w:basedOn w:val="Normal"/>
    <w:link w:val="HeaderChar"/>
    <w:uiPriority w:val="99"/>
    <w:unhideWhenUsed/>
    <w:rsid w:val="00943E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E92"/>
    <w:rPr>
      <w:rFonts w:ascii="Times New Roman" w:hAnsi="Times New Roman"/>
      <w:sz w:val="24"/>
    </w:rPr>
  </w:style>
  <w:style w:type="paragraph" w:styleId="Footer">
    <w:name w:val="footer"/>
    <w:basedOn w:val="Normal"/>
    <w:link w:val="FooterChar"/>
    <w:uiPriority w:val="99"/>
    <w:unhideWhenUsed/>
    <w:rsid w:val="00943E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E92"/>
    <w:rPr>
      <w:rFonts w:ascii="Times New Roman" w:hAnsi="Times New Roman"/>
      <w:sz w:val="24"/>
    </w:rPr>
  </w:style>
  <w:style w:type="paragraph" w:styleId="TOC3">
    <w:name w:val="toc 3"/>
    <w:basedOn w:val="Normal"/>
    <w:next w:val="Normal"/>
    <w:autoRedefine/>
    <w:uiPriority w:val="39"/>
    <w:unhideWhenUsed/>
    <w:rsid w:val="003E127F"/>
    <w:pPr>
      <w:spacing w:after="0"/>
      <w:ind w:left="480"/>
    </w:pPr>
    <w:rPr>
      <w:rFonts w:asciiTheme="minorHAnsi" w:hAnsiTheme="minorHAnsi" w:cstheme="minorHAnsi"/>
      <w:i/>
      <w:iCs/>
      <w:sz w:val="20"/>
      <w:szCs w:val="20"/>
    </w:rPr>
  </w:style>
  <w:style w:type="paragraph" w:styleId="TOC1">
    <w:name w:val="toc 1"/>
    <w:basedOn w:val="Normal"/>
    <w:next w:val="Normal"/>
    <w:autoRedefine/>
    <w:uiPriority w:val="39"/>
    <w:unhideWhenUsed/>
    <w:rsid w:val="003E127F"/>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E127F"/>
    <w:pPr>
      <w:spacing w:after="0"/>
      <w:ind w:left="240"/>
    </w:pPr>
    <w:rPr>
      <w:rFonts w:asciiTheme="minorHAnsi" w:hAnsiTheme="minorHAnsi" w:cstheme="minorHAnsi"/>
      <w:smallCaps/>
      <w:sz w:val="20"/>
      <w:szCs w:val="20"/>
    </w:rPr>
  </w:style>
  <w:style w:type="paragraph" w:customStyle="1" w:styleId="MyTables">
    <w:name w:val="My Tables"/>
    <w:basedOn w:val="Caption"/>
    <w:autoRedefine/>
    <w:qFormat/>
    <w:rsid w:val="00C05F7A"/>
    <w:pPr>
      <w:spacing w:after="20"/>
      <w:jc w:val="both"/>
    </w:pPr>
    <w:rPr>
      <w:rFonts w:cs="Times New Roman"/>
      <w:b/>
      <w:i w:val="0"/>
      <w:color w:val="000000" w:themeColor="text1"/>
      <w:sz w:val="24"/>
      <w:szCs w:val="24"/>
    </w:rPr>
  </w:style>
  <w:style w:type="paragraph" w:styleId="Caption">
    <w:name w:val="caption"/>
    <w:basedOn w:val="Normal"/>
    <w:next w:val="Normal"/>
    <w:uiPriority w:val="35"/>
    <w:semiHidden/>
    <w:unhideWhenUsed/>
    <w:qFormat/>
    <w:rsid w:val="00F814B7"/>
    <w:pPr>
      <w:spacing w:after="200" w:line="240" w:lineRule="auto"/>
    </w:pPr>
    <w:rPr>
      <w:i/>
      <w:iCs/>
      <w:color w:val="44546A" w:themeColor="text2"/>
      <w:sz w:val="18"/>
      <w:szCs w:val="18"/>
    </w:rPr>
  </w:style>
  <w:style w:type="paragraph" w:customStyle="1" w:styleId="MyFigures">
    <w:name w:val="My Figures"/>
    <w:basedOn w:val="Caption"/>
    <w:autoRedefine/>
    <w:qFormat/>
    <w:rsid w:val="00EE231D"/>
    <w:pPr>
      <w:spacing w:after="140" w:line="360" w:lineRule="auto"/>
      <w:jc w:val="both"/>
    </w:pPr>
    <w:rPr>
      <w:rFonts w:cs="Times New Roman"/>
      <w:b/>
      <w:color w:val="000000" w:themeColor="text1"/>
      <w:sz w:val="24"/>
      <w:szCs w:val="24"/>
    </w:rPr>
  </w:style>
  <w:style w:type="table" w:styleId="PlainTable5">
    <w:name w:val="Plain Table 5"/>
    <w:basedOn w:val="TableNormal"/>
    <w:uiPriority w:val="45"/>
    <w:rsid w:val="00203D7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203D7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03D7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FC6635"/>
    <w:pPr>
      <w:spacing w:before="480" w:line="276" w:lineRule="auto"/>
      <w:jc w:val="left"/>
      <w:outlineLvl w:val="9"/>
    </w:pPr>
    <w:rPr>
      <w:rFonts w:asciiTheme="majorHAnsi" w:hAnsiTheme="majorHAnsi" w:cstheme="majorBidi"/>
      <w:bCs/>
      <w:color w:val="2F5496" w:themeColor="accent1" w:themeShade="BF"/>
      <w:sz w:val="28"/>
      <w:szCs w:val="28"/>
    </w:rPr>
  </w:style>
  <w:style w:type="paragraph" w:styleId="TOC4">
    <w:name w:val="toc 4"/>
    <w:basedOn w:val="Normal"/>
    <w:next w:val="Normal"/>
    <w:autoRedefine/>
    <w:uiPriority w:val="39"/>
    <w:semiHidden/>
    <w:unhideWhenUsed/>
    <w:rsid w:val="00FC6635"/>
    <w:pPr>
      <w:spacing w:after="0"/>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FC6635"/>
    <w:pPr>
      <w:spacing w:after="0"/>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FC6635"/>
    <w:pPr>
      <w:spacing w:after="0"/>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FC6635"/>
    <w:pPr>
      <w:spacing w:after="0"/>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FC6635"/>
    <w:pPr>
      <w:spacing w:after="0"/>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FC6635"/>
    <w:pPr>
      <w:spacing w:after="0"/>
      <w:ind w:left="1920"/>
    </w:pPr>
    <w:rPr>
      <w:rFonts w:asciiTheme="minorHAnsi" w:hAnsiTheme="minorHAnsi" w:cstheme="minorHAnsi"/>
      <w:sz w:val="18"/>
      <w:szCs w:val="18"/>
    </w:rPr>
  </w:style>
  <w:style w:type="paragraph" w:styleId="BodyText">
    <w:name w:val="Body Text"/>
    <w:basedOn w:val="Normal"/>
    <w:link w:val="BodyTextChar"/>
    <w:uiPriority w:val="1"/>
    <w:qFormat/>
    <w:rsid w:val="00B45197"/>
    <w:pPr>
      <w:spacing w:before="180" w:after="180" w:line="240" w:lineRule="auto"/>
    </w:pPr>
    <w:rPr>
      <w:szCs w:val="24"/>
    </w:rPr>
  </w:style>
  <w:style w:type="character" w:customStyle="1" w:styleId="BodyTextChar">
    <w:name w:val="Body Text Char"/>
    <w:basedOn w:val="DefaultParagraphFont"/>
    <w:link w:val="BodyText"/>
    <w:uiPriority w:val="1"/>
    <w:rsid w:val="00B45197"/>
    <w:rPr>
      <w:rFonts w:ascii="Times New Roman" w:hAnsi="Times New Roman"/>
      <w:sz w:val="24"/>
      <w:szCs w:val="24"/>
      <w:lang w:val="en-US"/>
    </w:rPr>
  </w:style>
  <w:style w:type="paragraph" w:styleId="TableofFigures">
    <w:name w:val="table of figures"/>
    <w:basedOn w:val="Normal"/>
    <w:next w:val="Normal"/>
    <w:uiPriority w:val="99"/>
    <w:unhideWhenUsed/>
    <w:rsid w:val="00A96232"/>
    <w:pPr>
      <w:spacing w:after="0"/>
      <w:ind w:left="480" w:hanging="480"/>
    </w:pPr>
    <w:rPr>
      <w:rFonts w:asciiTheme="minorHAnsi" w:hAnsiTheme="minorHAnsi" w:cstheme="minorHAnsi"/>
      <w:smallCaps/>
      <w:sz w:val="20"/>
      <w:szCs w:val="20"/>
    </w:rPr>
  </w:style>
  <w:style w:type="character" w:styleId="Emphasis">
    <w:name w:val="Emphasis"/>
    <w:basedOn w:val="DefaultParagraphFont"/>
    <w:uiPriority w:val="20"/>
    <w:qFormat/>
    <w:rsid w:val="00443C3C"/>
    <w:rPr>
      <w:i/>
      <w:iCs/>
    </w:rPr>
  </w:style>
  <w:style w:type="paragraph" w:styleId="Revision">
    <w:name w:val="Revision"/>
    <w:hidden/>
    <w:uiPriority w:val="99"/>
    <w:semiHidden/>
    <w:rsid w:val="00A330B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8790F"/>
    <w:rPr>
      <w:sz w:val="16"/>
      <w:szCs w:val="16"/>
    </w:rPr>
  </w:style>
  <w:style w:type="paragraph" w:styleId="CommentText">
    <w:name w:val="annotation text"/>
    <w:basedOn w:val="Normal"/>
    <w:link w:val="CommentTextChar"/>
    <w:uiPriority w:val="99"/>
    <w:unhideWhenUsed/>
    <w:rsid w:val="00A8790F"/>
    <w:pPr>
      <w:spacing w:line="240" w:lineRule="auto"/>
    </w:pPr>
    <w:rPr>
      <w:sz w:val="20"/>
      <w:szCs w:val="20"/>
    </w:rPr>
  </w:style>
  <w:style w:type="character" w:customStyle="1" w:styleId="CommentTextChar">
    <w:name w:val="Comment Text Char"/>
    <w:basedOn w:val="DefaultParagraphFont"/>
    <w:link w:val="CommentText"/>
    <w:uiPriority w:val="99"/>
    <w:rsid w:val="00A8790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8790F"/>
    <w:rPr>
      <w:b/>
      <w:bCs/>
    </w:rPr>
  </w:style>
  <w:style w:type="character" w:customStyle="1" w:styleId="CommentSubjectChar">
    <w:name w:val="Comment Subject Char"/>
    <w:basedOn w:val="CommentTextChar"/>
    <w:link w:val="CommentSubject"/>
    <w:uiPriority w:val="99"/>
    <w:semiHidden/>
    <w:rsid w:val="00A8790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94306">
      <w:bodyDiv w:val="1"/>
      <w:marLeft w:val="0"/>
      <w:marRight w:val="0"/>
      <w:marTop w:val="0"/>
      <w:marBottom w:val="0"/>
      <w:divBdr>
        <w:top w:val="none" w:sz="0" w:space="0" w:color="auto"/>
        <w:left w:val="none" w:sz="0" w:space="0" w:color="auto"/>
        <w:bottom w:val="none" w:sz="0" w:space="0" w:color="auto"/>
        <w:right w:val="none" w:sz="0" w:space="0" w:color="auto"/>
      </w:divBdr>
    </w:div>
    <w:div w:id="959991441">
      <w:bodyDiv w:val="1"/>
      <w:marLeft w:val="0"/>
      <w:marRight w:val="0"/>
      <w:marTop w:val="0"/>
      <w:marBottom w:val="0"/>
      <w:divBdr>
        <w:top w:val="none" w:sz="0" w:space="0" w:color="auto"/>
        <w:left w:val="none" w:sz="0" w:space="0" w:color="auto"/>
        <w:bottom w:val="none" w:sz="0" w:space="0" w:color="auto"/>
        <w:right w:val="none" w:sz="0" w:space="0" w:color="auto"/>
      </w:divBdr>
      <w:divsChild>
        <w:div w:id="1721518677">
          <w:marLeft w:val="0"/>
          <w:marRight w:val="0"/>
          <w:marTop w:val="0"/>
          <w:marBottom w:val="0"/>
          <w:divBdr>
            <w:top w:val="none" w:sz="0" w:space="0" w:color="auto"/>
            <w:left w:val="none" w:sz="0" w:space="0" w:color="auto"/>
            <w:bottom w:val="none" w:sz="0" w:space="0" w:color="auto"/>
            <w:right w:val="none" w:sz="0" w:space="0" w:color="auto"/>
          </w:divBdr>
          <w:divsChild>
            <w:div w:id="1947955597">
              <w:marLeft w:val="0"/>
              <w:marRight w:val="0"/>
              <w:marTop w:val="0"/>
              <w:marBottom w:val="0"/>
              <w:divBdr>
                <w:top w:val="none" w:sz="0" w:space="0" w:color="auto"/>
                <w:left w:val="none" w:sz="0" w:space="0" w:color="auto"/>
                <w:bottom w:val="none" w:sz="0" w:space="0" w:color="auto"/>
                <w:right w:val="none" w:sz="0" w:space="0" w:color="auto"/>
              </w:divBdr>
              <w:divsChild>
                <w:div w:id="794179317">
                  <w:marLeft w:val="0"/>
                  <w:marRight w:val="0"/>
                  <w:marTop w:val="0"/>
                  <w:marBottom w:val="0"/>
                  <w:divBdr>
                    <w:top w:val="none" w:sz="0" w:space="0" w:color="auto"/>
                    <w:left w:val="none" w:sz="0" w:space="0" w:color="auto"/>
                    <w:bottom w:val="none" w:sz="0" w:space="0" w:color="auto"/>
                    <w:right w:val="none" w:sz="0" w:space="0" w:color="auto"/>
                  </w:divBdr>
                  <w:divsChild>
                    <w:div w:id="2097096003">
                      <w:marLeft w:val="0"/>
                      <w:marRight w:val="0"/>
                      <w:marTop w:val="0"/>
                      <w:marBottom w:val="0"/>
                      <w:divBdr>
                        <w:top w:val="none" w:sz="0" w:space="0" w:color="auto"/>
                        <w:left w:val="none" w:sz="0" w:space="0" w:color="auto"/>
                        <w:bottom w:val="none" w:sz="0" w:space="0" w:color="auto"/>
                        <w:right w:val="none" w:sz="0" w:space="0" w:color="auto"/>
                      </w:divBdr>
                      <w:divsChild>
                        <w:div w:id="1456876120">
                          <w:marLeft w:val="0"/>
                          <w:marRight w:val="0"/>
                          <w:marTop w:val="0"/>
                          <w:marBottom w:val="0"/>
                          <w:divBdr>
                            <w:top w:val="none" w:sz="0" w:space="0" w:color="auto"/>
                            <w:left w:val="none" w:sz="0" w:space="0" w:color="auto"/>
                            <w:bottom w:val="none" w:sz="0" w:space="0" w:color="auto"/>
                            <w:right w:val="none" w:sz="0" w:space="0" w:color="auto"/>
                          </w:divBdr>
                          <w:divsChild>
                            <w:div w:id="818350203">
                              <w:marLeft w:val="0"/>
                              <w:marRight w:val="0"/>
                              <w:marTop w:val="0"/>
                              <w:marBottom w:val="0"/>
                              <w:divBdr>
                                <w:top w:val="none" w:sz="0" w:space="0" w:color="auto"/>
                                <w:left w:val="none" w:sz="0" w:space="0" w:color="auto"/>
                                <w:bottom w:val="none" w:sz="0" w:space="0" w:color="auto"/>
                                <w:right w:val="none" w:sz="0" w:space="0" w:color="auto"/>
                              </w:divBdr>
                              <w:divsChild>
                                <w:div w:id="258610219">
                                  <w:marLeft w:val="0"/>
                                  <w:marRight w:val="0"/>
                                  <w:marTop w:val="0"/>
                                  <w:marBottom w:val="0"/>
                                  <w:divBdr>
                                    <w:top w:val="none" w:sz="0" w:space="0" w:color="auto"/>
                                    <w:left w:val="none" w:sz="0" w:space="0" w:color="auto"/>
                                    <w:bottom w:val="none" w:sz="0" w:space="0" w:color="auto"/>
                                    <w:right w:val="none" w:sz="0" w:space="0" w:color="auto"/>
                                  </w:divBdr>
                                  <w:divsChild>
                                    <w:div w:id="139928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4609">
                      <w:marLeft w:val="0"/>
                      <w:marRight w:val="0"/>
                      <w:marTop w:val="0"/>
                      <w:marBottom w:val="0"/>
                      <w:divBdr>
                        <w:top w:val="none" w:sz="0" w:space="0" w:color="auto"/>
                        <w:left w:val="none" w:sz="0" w:space="0" w:color="auto"/>
                        <w:bottom w:val="none" w:sz="0" w:space="0" w:color="auto"/>
                        <w:right w:val="none" w:sz="0" w:space="0" w:color="auto"/>
                      </w:divBdr>
                      <w:divsChild>
                        <w:div w:id="145098002">
                          <w:marLeft w:val="0"/>
                          <w:marRight w:val="0"/>
                          <w:marTop w:val="0"/>
                          <w:marBottom w:val="0"/>
                          <w:divBdr>
                            <w:top w:val="none" w:sz="0" w:space="0" w:color="auto"/>
                            <w:left w:val="none" w:sz="0" w:space="0" w:color="auto"/>
                            <w:bottom w:val="none" w:sz="0" w:space="0" w:color="auto"/>
                            <w:right w:val="none" w:sz="0" w:space="0" w:color="auto"/>
                          </w:divBdr>
                          <w:divsChild>
                            <w:div w:id="513420144">
                              <w:marLeft w:val="0"/>
                              <w:marRight w:val="0"/>
                              <w:marTop w:val="0"/>
                              <w:marBottom w:val="0"/>
                              <w:divBdr>
                                <w:top w:val="none" w:sz="0" w:space="0" w:color="auto"/>
                                <w:left w:val="none" w:sz="0" w:space="0" w:color="auto"/>
                                <w:bottom w:val="none" w:sz="0" w:space="0" w:color="auto"/>
                                <w:right w:val="none" w:sz="0" w:space="0" w:color="auto"/>
                              </w:divBdr>
                              <w:divsChild>
                                <w:div w:id="24720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9103646">
      <w:bodyDiv w:val="1"/>
      <w:marLeft w:val="0"/>
      <w:marRight w:val="0"/>
      <w:marTop w:val="0"/>
      <w:marBottom w:val="0"/>
      <w:divBdr>
        <w:top w:val="none" w:sz="0" w:space="0" w:color="auto"/>
        <w:left w:val="none" w:sz="0" w:space="0" w:color="auto"/>
        <w:bottom w:val="none" w:sz="0" w:space="0" w:color="auto"/>
        <w:right w:val="none" w:sz="0" w:space="0" w:color="auto"/>
      </w:divBdr>
      <w:divsChild>
        <w:div w:id="1407802233">
          <w:marLeft w:val="0"/>
          <w:marRight w:val="0"/>
          <w:marTop w:val="0"/>
          <w:marBottom w:val="0"/>
          <w:divBdr>
            <w:top w:val="none" w:sz="0" w:space="0" w:color="auto"/>
            <w:left w:val="none" w:sz="0" w:space="0" w:color="auto"/>
            <w:bottom w:val="none" w:sz="0" w:space="0" w:color="auto"/>
            <w:right w:val="none" w:sz="0" w:space="0" w:color="auto"/>
          </w:divBdr>
          <w:divsChild>
            <w:div w:id="1014111887">
              <w:marLeft w:val="0"/>
              <w:marRight w:val="0"/>
              <w:marTop w:val="0"/>
              <w:marBottom w:val="0"/>
              <w:divBdr>
                <w:top w:val="none" w:sz="0" w:space="0" w:color="auto"/>
                <w:left w:val="none" w:sz="0" w:space="0" w:color="auto"/>
                <w:bottom w:val="none" w:sz="0" w:space="0" w:color="auto"/>
                <w:right w:val="none" w:sz="0" w:space="0" w:color="auto"/>
              </w:divBdr>
              <w:divsChild>
                <w:div w:id="854808453">
                  <w:marLeft w:val="0"/>
                  <w:marRight w:val="0"/>
                  <w:marTop w:val="0"/>
                  <w:marBottom w:val="0"/>
                  <w:divBdr>
                    <w:top w:val="none" w:sz="0" w:space="0" w:color="auto"/>
                    <w:left w:val="none" w:sz="0" w:space="0" w:color="auto"/>
                    <w:bottom w:val="none" w:sz="0" w:space="0" w:color="auto"/>
                    <w:right w:val="none" w:sz="0" w:space="0" w:color="auto"/>
                  </w:divBdr>
                  <w:divsChild>
                    <w:div w:id="1741101978">
                      <w:marLeft w:val="0"/>
                      <w:marRight w:val="0"/>
                      <w:marTop w:val="0"/>
                      <w:marBottom w:val="0"/>
                      <w:divBdr>
                        <w:top w:val="none" w:sz="0" w:space="0" w:color="auto"/>
                        <w:left w:val="none" w:sz="0" w:space="0" w:color="auto"/>
                        <w:bottom w:val="none" w:sz="0" w:space="0" w:color="auto"/>
                        <w:right w:val="none" w:sz="0" w:space="0" w:color="auto"/>
                      </w:divBdr>
                      <w:divsChild>
                        <w:div w:id="370350925">
                          <w:marLeft w:val="0"/>
                          <w:marRight w:val="0"/>
                          <w:marTop w:val="0"/>
                          <w:marBottom w:val="0"/>
                          <w:divBdr>
                            <w:top w:val="none" w:sz="0" w:space="0" w:color="auto"/>
                            <w:left w:val="none" w:sz="0" w:space="0" w:color="auto"/>
                            <w:bottom w:val="none" w:sz="0" w:space="0" w:color="auto"/>
                            <w:right w:val="none" w:sz="0" w:space="0" w:color="auto"/>
                          </w:divBdr>
                          <w:divsChild>
                            <w:div w:id="125438964">
                              <w:marLeft w:val="0"/>
                              <w:marRight w:val="0"/>
                              <w:marTop w:val="0"/>
                              <w:marBottom w:val="0"/>
                              <w:divBdr>
                                <w:top w:val="none" w:sz="0" w:space="0" w:color="auto"/>
                                <w:left w:val="none" w:sz="0" w:space="0" w:color="auto"/>
                                <w:bottom w:val="none" w:sz="0" w:space="0" w:color="auto"/>
                                <w:right w:val="none" w:sz="0" w:space="0" w:color="auto"/>
                              </w:divBdr>
                              <w:divsChild>
                                <w:div w:id="358704575">
                                  <w:marLeft w:val="0"/>
                                  <w:marRight w:val="0"/>
                                  <w:marTop w:val="0"/>
                                  <w:marBottom w:val="0"/>
                                  <w:divBdr>
                                    <w:top w:val="none" w:sz="0" w:space="0" w:color="auto"/>
                                    <w:left w:val="none" w:sz="0" w:space="0" w:color="auto"/>
                                    <w:bottom w:val="none" w:sz="0" w:space="0" w:color="auto"/>
                                    <w:right w:val="none" w:sz="0" w:space="0" w:color="auto"/>
                                  </w:divBdr>
                                  <w:divsChild>
                                    <w:div w:id="15047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049567">
                      <w:marLeft w:val="0"/>
                      <w:marRight w:val="0"/>
                      <w:marTop w:val="0"/>
                      <w:marBottom w:val="0"/>
                      <w:divBdr>
                        <w:top w:val="none" w:sz="0" w:space="0" w:color="auto"/>
                        <w:left w:val="none" w:sz="0" w:space="0" w:color="auto"/>
                        <w:bottom w:val="none" w:sz="0" w:space="0" w:color="auto"/>
                        <w:right w:val="none" w:sz="0" w:space="0" w:color="auto"/>
                      </w:divBdr>
                      <w:divsChild>
                        <w:div w:id="2121796058">
                          <w:marLeft w:val="0"/>
                          <w:marRight w:val="0"/>
                          <w:marTop w:val="0"/>
                          <w:marBottom w:val="0"/>
                          <w:divBdr>
                            <w:top w:val="none" w:sz="0" w:space="0" w:color="auto"/>
                            <w:left w:val="none" w:sz="0" w:space="0" w:color="auto"/>
                            <w:bottom w:val="none" w:sz="0" w:space="0" w:color="auto"/>
                            <w:right w:val="none" w:sz="0" w:space="0" w:color="auto"/>
                          </w:divBdr>
                          <w:divsChild>
                            <w:div w:id="985353765">
                              <w:marLeft w:val="0"/>
                              <w:marRight w:val="0"/>
                              <w:marTop w:val="0"/>
                              <w:marBottom w:val="0"/>
                              <w:divBdr>
                                <w:top w:val="none" w:sz="0" w:space="0" w:color="auto"/>
                                <w:left w:val="none" w:sz="0" w:space="0" w:color="auto"/>
                                <w:bottom w:val="none" w:sz="0" w:space="0" w:color="auto"/>
                                <w:right w:val="none" w:sz="0" w:space="0" w:color="auto"/>
                              </w:divBdr>
                              <w:divsChild>
                                <w:div w:id="176449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512147">
      <w:bodyDiv w:val="1"/>
      <w:marLeft w:val="0"/>
      <w:marRight w:val="0"/>
      <w:marTop w:val="0"/>
      <w:marBottom w:val="0"/>
      <w:divBdr>
        <w:top w:val="none" w:sz="0" w:space="0" w:color="auto"/>
        <w:left w:val="none" w:sz="0" w:space="0" w:color="auto"/>
        <w:bottom w:val="none" w:sz="0" w:space="0" w:color="auto"/>
        <w:right w:val="none" w:sz="0" w:space="0" w:color="auto"/>
      </w:divBdr>
      <w:divsChild>
        <w:div w:id="95298135">
          <w:marLeft w:val="0"/>
          <w:marRight w:val="0"/>
          <w:marTop w:val="0"/>
          <w:marBottom w:val="0"/>
          <w:divBdr>
            <w:top w:val="none" w:sz="0" w:space="0" w:color="auto"/>
            <w:left w:val="none" w:sz="0" w:space="0" w:color="auto"/>
            <w:bottom w:val="none" w:sz="0" w:space="0" w:color="auto"/>
            <w:right w:val="none" w:sz="0" w:space="0" w:color="auto"/>
          </w:divBdr>
          <w:divsChild>
            <w:div w:id="556934860">
              <w:marLeft w:val="0"/>
              <w:marRight w:val="0"/>
              <w:marTop w:val="0"/>
              <w:marBottom w:val="0"/>
              <w:divBdr>
                <w:top w:val="none" w:sz="0" w:space="0" w:color="auto"/>
                <w:left w:val="none" w:sz="0" w:space="0" w:color="auto"/>
                <w:bottom w:val="none" w:sz="0" w:space="0" w:color="auto"/>
                <w:right w:val="none" w:sz="0" w:space="0" w:color="auto"/>
              </w:divBdr>
              <w:divsChild>
                <w:div w:id="449860705">
                  <w:marLeft w:val="0"/>
                  <w:marRight w:val="0"/>
                  <w:marTop w:val="0"/>
                  <w:marBottom w:val="0"/>
                  <w:divBdr>
                    <w:top w:val="none" w:sz="0" w:space="0" w:color="auto"/>
                    <w:left w:val="none" w:sz="0" w:space="0" w:color="auto"/>
                    <w:bottom w:val="none" w:sz="0" w:space="0" w:color="auto"/>
                    <w:right w:val="none" w:sz="0" w:space="0" w:color="auto"/>
                  </w:divBdr>
                  <w:divsChild>
                    <w:div w:id="1055469523">
                      <w:marLeft w:val="0"/>
                      <w:marRight w:val="0"/>
                      <w:marTop w:val="0"/>
                      <w:marBottom w:val="0"/>
                      <w:divBdr>
                        <w:top w:val="none" w:sz="0" w:space="0" w:color="auto"/>
                        <w:left w:val="none" w:sz="0" w:space="0" w:color="auto"/>
                        <w:bottom w:val="none" w:sz="0" w:space="0" w:color="auto"/>
                        <w:right w:val="none" w:sz="0" w:space="0" w:color="auto"/>
                      </w:divBdr>
                      <w:divsChild>
                        <w:div w:id="1580867464">
                          <w:marLeft w:val="0"/>
                          <w:marRight w:val="0"/>
                          <w:marTop w:val="0"/>
                          <w:marBottom w:val="0"/>
                          <w:divBdr>
                            <w:top w:val="none" w:sz="0" w:space="0" w:color="auto"/>
                            <w:left w:val="none" w:sz="0" w:space="0" w:color="auto"/>
                            <w:bottom w:val="none" w:sz="0" w:space="0" w:color="auto"/>
                            <w:right w:val="none" w:sz="0" w:space="0" w:color="auto"/>
                          </w:divBdr>
                          <w:divsChild>
                            <w:div w:id="1107389223">
                              <w:marLeft w:val="0"/>
                              <w:marRight w:val="0"/>
                              <w:marTop w:val="0"/>
                              <w:marBottom w:val="0"/>
                              <w:divBdr>
                                <w:top w:val="none" w:sz="0" w:space="0" w:color="auto"/>
                                <w:left w:val="none" w:sz="0" w:space="0" w:color="auto"/>
                                <w:bottom w:val="none" w:sz="0" w:space="0" w:color="auto"/>
                                <w:right w:val="none" w:sz="0" w:space="0" w:color="auto"/>
                              </w:divBdr>
                              <w:divsChild>
                                <w:div w:id="1595361393">
                                  <w:marLeft w:val="0"/>
                                  <w:marRight w:val="0"/>
                                  <w:marTop w:val="0"/>
                                  <w:marBottom w:val="0"/>
                                  <w:divBdr>
                                    <w:top w:val="none" w:sz="0" w:space="0" w:color="auto"/>
                                    <w:left w:val="none" w:sz="0" w:space="0" w:color="auto"/>
                                    <w:bottom w:val="none" w:sz="0" w:space="0" w:color="auto"/>
                                    <w:right w:val="none" w:sz="0" w:space="0" w:color="auto"/>
                                  </w:divBdr>
                                  <w:divsChild>
                                    <w:div w:id="1521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999127">
                      <w:marLeft w:val="0"/>
                      <w:marRight w:val="0"/>
                      <w:marTop w:val="0"/>
                      <w:marBottom w:val="0"/>
                      <w:divBdr>
                        <w:top w:val="none" w:sz="0" w:space="0" w:color="auto"/>
                        <w:left w:val="none" w:sz="0" w:space="0" w:color="auto"/>
                        <w:bottom w:val="none" w:sz="0" w:space="0" w:color="auto"/>
                        <w:right w:val="none" w:sz="0" w:space="0" w:color="auto"/>
                      </w:divBdr>
                      <w:divsChild>
                        <w:div w:id="58678415">
                          <w:marLeft w:val="0"/>
                          <w:marRight w:val="0"/>
                          <w:marTop w:val="0"/>
                          <w:marBottom w:val="0"/>
                          <w:divBdr>
                            <w:top w:val="none" w:sz="0" w:space="0" w:color="auto"/>
                            <w:left w:val="none" w:sz="0" w:space="0" w:color="auto"/>
                            <w:bottom w:val="none" w:sz="0" w:space="0" w:color="auto"/>
                            <w:right w:val="none" w:sz="0" w:space="0" w:color="auto"/>
                          </w:divBdr>
                          <w:divsChild>
                            <w:div w:id="469245410">
                              <w:marLeft w:val="0"/>
                              <w:marRight w:val="0"/>
                              <w:marTop w:val="0"/>
                              <w:marBottom w:val="0"/>
                              <w:divBdr>
                                <w:top w:val="none" w:sz="0" w:space="0" w:color="auto"/>
                                <w:left w:val="none" w:sz="0" w:space="0" w:color="auto"/>
                                <w:bottom w:val="none" w:sz="0" w:space="0" w:color="auto"/>
                                <w:right w:val="none" w:sz="0" w:space="0" w:color="auto"/>
                              </w:divBdr>
                              <w:divsChild>
                                <w:div w:id="144881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undefined"/><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undefined"/><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undefined"/><Relationship Id="rId45" Type="http://schemas.openxmlformats.org/officeDocument/2006/relationships/image" Target="media/image38.undefined"/><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g"/><Relationship Id="rId19" Type="http://schemas.openxmlformats.org/officeDocument/2006/relationships/image" Target="media/image12.undefined"/><Relationship Id="rId31" Type="http://schemas.openxmlformats.org/officeDocument/2006/relationships/image" Target="media/image24.png"/><Relationship Id="rId44" Type="http://schemas.openxmlformats.org/officeDocument/2006/relationships/image" Target="media/image37.undefined"/><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undefined"/><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undefined"/><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undefined"/><Relationship Id="rId41" Type="http://schemas.openxmlformats.org/officeDocument/2006/relationships/image" Target="media/image34.undefined"/><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undefined"/><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DD7B3-0B86-4572-ADAE-1118D90BB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20945</Words>
  <Characters>127200</Characters>
  <Application>Microsoft Office Word</Application>
  <DocSecurity>0</DocSecurity>
  <Lines>3500</Lines>
  <Paragraphs>2031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Adeleye</dc:creator>
  <cp:keywords/>
  <dc:description/>
  <cp:lastModifiedBy>Amobi Onovo</cp:lastModifiedBy>
  <cp:revision>4</cp:revision>
  <cp:lastPrinted>2026-10-09T07:11:00Z</cp:lastPrinted>
  <dcterms:created xsi:type="dcterms:W3CDTF">2026-09-08T06:19:00Z</dcterms:created>
  <dcterms:modified xsi:type="dcterms:W3CDTF">2026-10-09T07:11:00Z</dcterms:modified>
  <cp:category/>
</cp:coreProperties>
</file>