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36294F"/>
          <w:sz w:val="34"/>
        </w:rPr>
        <w:t>The Enablement Council Charter</w:t>
      </w:r>
    </w:p>
    <w:p>
      <w:pPr>
        <w:spacing w:after="40"/>
      </w:pPr>
      <w:r>
        <w:rPr>
          <w:b/>
          <w:i w:val="0"/>
          <w:color w:val="39989E"/>
          <w:sz w:val="22"/>
        </w:rPr>
        <w:t>Nobody owns AI alone. Four functions, four verbs, one page.</w:t>
      </w:r>
    </w:p>
    <w:p>
      <w:pPr>
        <w:spacing w:after="60"/>
      </w:pPr>
      <w:r>
        <w:rPr>
          <w:b w:val="0"/>
          <w:i/>
          <w:color w:val="55505F"/>
          <w:sz w:val="15"/>
        </w:rPr>
        <w:t>From AI Will Scale Good Leadership and Bad Leadership: The CHRO’s Method for Redesigning Work Before AI Scales What’s Broken, by Liz Corey  |  Toolbox No. 14</w:t>
      </w:r>
    </w:p>
    <w:p>
      <w:pPr>
        <w:spacing w:after="60"/>
      </w:pPr>
      <w:r>
        <w:rPr>
          <w:b/>
          <w:i w:val="0"/>
          <w:color w:val="36294F"/>
        </w:rPr>
        <w:t xml:space="preserve">IT owns that the system works. </w:t>
      </w:r>
      <w:r>
        <w:rPr>
          <w:b/>
          <w:i w:val="0"/>
          <w:color w:val="36294F"/>
        </w:rPr>
        <w:t xml:space="preserve">The business owns what the system does. </w:t>
      </w:r>
      <w:r>
        <w:rPr>
          <w:b/>
          <w:i w:val="0"/>
          <w:color w:val="36294F"/>
        </w:rPr>
        <w:t xml:space="preserve">HR owns what the work becomes, and what the whole workforce costs. </w:t>
      </w:r>
      <w:r>
        <w:rPr>
          <w:b/>
          <w:i w:val="0"/>
          <w:color w:val="36294F"/>
        </w:rPr>
        <w:t xml:space="preserve">Finance owns what the capacity is worth. </w:t>
      </w:r>
      <w:r>
        <w:rPr>
          <w:b w:val="0"/>
          <w:i w:val="0"/>
        </w:rPr>
        <w:t>Your company may split the seats differently. What can’t vary is that every one of the four verbs has a name. This page gives the council a purpose, decision rights, and a sponsor before it meets, so it can’t drift into a status meeting.</w:t>
      </w: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1  </w:t>
            </w:r>
            <w:r>
              <w:rPr>
                <w:b/>
                <w:i w:val="0"/>
                <w:color w:val="36294F"/>
                <w:sz w:val="20"/>
              </w:rPr>
              <w:t>Purpose</w:t>
            </w:r>
          </w:p>
          <w:p>
            <w:pPr>
              <w:spacing w:after="40"/>
            </w:pPr>
            <w:r>
              <w:rPr>
                <w:b w:val="0"/>
                <w:i w:val="0"/>
              </w:rPr>
              <w:t>Make sure somebody owns the work as AI changes it. Not the technology. The work.</w:t>
            </w:r>
          </w:p>
        </w:tc>
      </w:tr>
    </w:tbl>
    <w:p>
      <w:pPr>
        <w:spacing w:after="0" w:line="80" w:lineRule="exact"/>
      </w:pP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2  </w:t>
            </w:r>
            <w:r>
              <w:rPr>
                <w:b/>
                <w:i w:val="0"/>
                <w:color w:val="36294F"/>
                <w:sz w:val="20"/>
              </w:rPr>
              <w:t>Seats</w:t>
            </w:r>
          </w:p>
          <w:p>
            <w:pPr>
              <w:spacing w:after="40"/>
            </w:pPr>
            <w:r>
              <w:rPr>
                <w:b w:val="0"/>
                <w:i w:val="0"/>
              </w:rPr>
              <w:t>One named person each, plus a named executive sponsor who attends quarterly and answers exceptions. HR convenes and equips. HR doesn’t gatekeep.</w:t>
            </w:r>
          </w:p>
          <w:tbl>
            <w:tblPr>
              <w:tblW w:type="auto" w:w="0"/>
              <w:tblLook w:firstColumn="1" w:firstRow="1" w:lastColumn="0" w:lastRow="0" w:noHBand="0" w:noVBand="1" w:val="04A0"/>
              <w:tblBorders>
                <w:top w:val="single" w:sz="4" w:color="D9D5E2"/>
                <w:left w:val="single" w:sz="4" w:color="D9D5E2"/>
                <w:bottom w:val="single" w:sz="4" w:color="D9D5E2"/>
                <w:right w:val="single" w:sz="4" w:color="D9D5E2"/>
                <w:insideH w:val="single" w:sz="4" w:color="D9D5E2"/>
                <w:insideV w:val="single" w:sz="4" w:color="D9D5E2"/>
              </w:tblBorders>
            </w:tblPr>
            <w:tblGrid>
              <w:gridCol w:w="4968"/>
              <w:gridCol w:w="4968"/>
            </w:tblGrid>
            <w:tr>
              <w:tc>
                <w:tcPr>
                  <w:tcW w:type="dxa" w:w="3168"/>
                </w:tcPr>
                <w:p>
                  <w:pPr>
                    <w:spacing w:after="0"/>
                  </w:pPr>
                  <w:r>
                    <w:rPr>
                      <w:b/>
                      <w:i w:val="0"/>
                      <w:color w:val="36294F"/>
                      <w:sz w:val="16"/>
                    </w:rPr>
                    <w:t>IT: that the system works</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The business: what the system does</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HR: what the work becomes, and what the workforce costs</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Finance: what the capacity is worth</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Executive sponsor</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Convened by (HR)</w:t>
                  </w:r>
                </w:p>
              </w:tc>
              <w:tc>
                <w:tcPr>
                  <w:tcW w:type="dxa" w:w="6480"/>
                </w:tcPr>
                <w:p>
                  <w:pPr>
                    <w:spacing w:after="0"/>
                  </w:pPr>
                  <w:r>
                    <w:rPr>
                      <w:b w:val="0"/>
                      <w:i w:val="0"/>
                      <w:color w:val="55505F"/>
                      <w:sz w:val="16"/>
                    </w:rPr>
                  </w:r>
                </w:p>
              </w:tc>
            </w:tr>
          </w:tbl>
          <w:p/>
        </w:tc>
      </w:tr>
    </w:tbl>
    <w:p>
      <w:pPr>
        <w:spacing w:after="0" w:line="80" w:lineRule="exact"/>
      </w:pP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3  </w:t>
            </w:r>
            <w:r>
              <w:rPr>
                <w:b/>
                <w:i w:val="0"/>
                <w:color w:val="36294F"/>
                <w:sz w:val="20"/>
              </w:rPr>
              <w:t>Decision rights</w:t>
            </w:r>
          </w:p>
          <w:p>
            <w:pPr>
              <w:spacing w:after="40"/>
            </w:pPr>
            <w:r>
              <w:rPr>
                <w:b/>
                <w:i w:val="0"/>
                <w:color w:val="36294F"/>
              </w:rPr>
              <w:t xml:space="preserve">Approves </w:t>
            </w:r>
            <w:r>
              <w:rPr>
                <w:b w:val="0"/>
                <w:i w:val="0"/>
              </w:rPr>
              <w:t>the Work Assignment Matrix for any process in redesign.</w:t>
            </w:r>
          </w:p>
          <w:p>
            <w:pPr>
              <w:spacing w:after="40"/>
            </w:pPr>
            <w:r>
              <w:rPr>
                <w:b/>
                <w:i w:val="0"/>
                <w:color w:val="36294F"/>
              </w:rPr>
              <w:t xml:space="preserve">Holds the scale gate: </w:t>
            </w:r>
            <w:r>
              <w:rPr>
                <w:b w:val="0"/>
                <w:i w:val="0"/>
              </w:rPr>
              <w:t>no rollout multiplies without a Manager Readiness Review in front of it.</w:t>
            </w:r>
          </w:p>
          <w:p>
            <w:pPr>
              <w:spacing w:after="40"/>
            </w:pPr>
            <w:r>
              <w:rPr>
                <w:b/>
                <w:i w:val="0"/>
                <w:color w:val="36294F"/>
              </w:rPr>
              <w:t xml:space="preserve">Hears every exception </w:t>
            </w:r>
            <w:r>
              <w:rPr>
                <w:b w:val="0"/>
                <w:i w:val="0"/>
              </w:rPr>
              <w:t>to the policy that no agent enters production without an Agent Job Description, and refuses most of them.</w:t>
            </w:r>
          </w:p>
        </w:tc>
      </w:tr>
    </w:tbl>
    <w:p>
      <w:pPr>
        <w:spacing w:after="0" w:line="80" w:lineRule="exact"/>
      </w:pP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4  </w:t>
            </w:r>
            <w:r>
              <w:rPr>
                <w:b/>
                <w:i w:val="0"/>
                <w:color w:val="36294F"/>
                <w:sz w:val="20"/>
              </w:rPr>
              <w:t>Cadence</w:t>
            </w:r>
          </w:p>
          <w:p>
            <w:pPr>
              <w:spacing w:after="40"/>
            </w:pPr>
            <w:r>
              <w:rPr>
                <w:b w:val="0"/>
                <w:i w:val="0"/>
              </w:rPr>
              <w:t>Every two weeks during a rollout. Monthly at steady state. Sponsor present once a quarter.</w:t>
            </w:r>
          </w:p>
          <w:tbl>
            <w:tblPr>
              <w:tblW w:type="auto" w:w="0"/>
              <w:tblLook w:firstColumn="1" w:firstRow="1" w:lastColumn="0" w:lastRow="0" w:noHBand="0" w:noVBand="1" w:val="04A0"/>
              <w:tblBorders>
                <w:top w:val="single" w:sz="4" w:color="D9D5E2"/>
                <w:left w:val="single" w:sz="4" w:color="D9D5E2"/>
                <w:bottom w:val="single" w:sz="4" w:color="D9D5E2"/>
                <w:right w:val="single" w:sz="4" w:color="D9D5E2"/>
                <w:insideH w:val="single" w:sz="4" w:color="D9D5E2"/>
                <w:insideV w:val="single" w:sz="4" w:color="D9D5E2"/>
              </w:tblBorders>
            </w:tblPr>
            <w:tblGrid>
              <w:gridCol w:w="4968"/>
              <w:gridCol w:w="4968"/>
            </w:tblGrid>
            <w:tr>
              <w:tc>
                <w:tcPr>
                  <w:tcW w:type="dxa" w:w="3168"/>
                </w:tcPr>
                <w:p>
                  <w:pPr>
                    <w:spacing w:after="0"/>
                  </w:pPr>
                  <w:r>
                    <w:rPr>
                      <w:b/>
                      <w:i w:val="0"/>
                      <w:color w:val="36294F"/>
                      <w:sz w:val="16"/>
                    </w:rPr>
                    <w:t>First meeting</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Rollout cadence (day and time)</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Steady-state cadence</w:t>
                  </w:r>
                </w:p>
              </w:tc>
              <w:tc>
                <w:tcPr>
                  <w:tcW w:type="dxa" w:w="6480"/>
                </w:tcPr>
                <w:p>
                  <w:pPr>
                    <w:spacing w:after="0"/>
                  </w:pPr>
                  <w:r>
                    <w:rPr>
                      <w:b w:val="0"/>
                      <w:i w:val="0"/>
                      <w:color w:val="55505F"/>
                      <w:sz w:val="16"/>
                    </w:rPr>
                  </w:r>
                </w:p>
              </w:tc>
            </w:tr>
            <w:tr>
              <w:tc>
                <w:tcPr>
                  <w:tcW w:type="dxa" w:w="3168"/>
                </w:tcPr>
                <w:p>
                  <w:pPr>
                    <w:spacing w:after="0"/>
                  </w:pPr>
                  <w:r>
                    <w:rPr>
                      <w:b/>
                      <w:i w:val="0"/>
                      <w:color w:val="36294F"/>
                      <w:sz w:val="16"/>
                    </w:rPr>
                    <w:t>Sponsor’s quarterly date</w:t>
                  </w:r>
                </w:p>
              </w:tc>
              <w:tc>
                <w:tcPr>
                  <w:tcW w:type="dxa" w:w="6480"/>
                </w:tcPr>
                <w:p>
                  <w:pPr>
                    <w:spacing w:after="0"/>
                  </w:pPr>
                  <w:r>
                    <w:rPr>
                      <w:b w:val="0"/>
                      <w:i w:val="0"/>
                      <w:color w:val="55505F"/>
                      <w:sz w:val="16"/>
                    </w:rPr>
                  </w:r>
                </w:p>
              </w:tc>
            </w:tr>
          </w:tbl>
          <w:p/>
        </w:tc>
      </w:tr>
    </w:tbl>
    <w:p>
      <w:pPr>
        <w:spacing w:after="0" w:line="80" w:lineRule="exact"/>
      </w:pP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5  </w:t>
            </w:r>
            <w:r>
              <w:rPr>
                <w:b/>
                <w:i w:val="0"/>
                <w:color w:val="36294F"/>
                <w:sz w:val="20"/>
              </w:rPr>
              <w:t>What it needs in front of it</w:t>
            </w:r>
          </w:p>
          <w:p>
            <w:pPr>
              <w:spacing w:after="40"/>
            </w:pPr>
            <w:r>
              <w:rPr>
                <w:b/>
                <w:i w:val="0"/>
                <w:color w:val="36294F"/>
              </w:rPr>
              <w:t xml:space="preserve">The matrix. </w:t>
            </w:r>
            <w:r>
              <w:rPr>
                <w:b w:val="0"/>
                <w:i w:val="0"/>
              </w:rPr>
              <w:t>The Work Assignment Matrix for every process in redesign.</w:t>
            </w:r>
          </w:p>
          <w:p>
            <w:pPr>
              <w:spacing w:after="40"/>
            </w:pPr>
            <w:r>
              <w:rPr>
                <w:b/>
                <w:i w:val="0"/>
                <w:color w:val="36294F"/>
              </w:rPr>
              <w:t xml:space="preserve">The readiness reviews. </w:t>
            </w:r>
            <w:r>
              <w:rPr>
                <w:b w:val="0"/>
                <w:i w:val="0"/>
              </w:rPr>
              <w:t>The Manager Readiness Review for every rollout waiting at the gate.</w:t>
            </w:r>
          </w:p>
          <w:p>
            <w:pPr>
              <w:spacing w:after="40"/>
            </w:pPr>
            <w:r>
              <w:rPr>
                <w:b/>
                <w:i w:val="0"/>
                <w:color w:val="36294F"/>
              </w:rPr>
              <w:t xml:space="preserve">The agent inventory. </w:t>
            </w:r>
            <w:r>
              <w:rPr>
                <w:b w:val="0"/>
                <w:i w:val="0"/>
              </w:rPr>
              <w:t>Every agent running, with or without a job description.</w:t>
            </w:r>
          </w:p>
          <w:p>
            <w:pPr>
              <w:spacing w:after="40"/>
            </w:pPr>
            <w:r>
              <w:rPr>
                <w:b/>
                <w:i w:val="0"/>
                <w:color w:val="36294F"/>
              </w:rPr>
              <w:t xml:space="preserve">The ownership register. </w:t>
            </w:r>
            <w:r>
              <w:rPr>
                <w:b w:val="0"/>
                <w:i w:val="0"/>
              </w:rPr>
              <w:t>The Decision Rights Matrix: five names on every consequential rule.</w:t>
            </w:r>
          </w:p>
          <w:p>
            <w:pPr>
              <w:spacing w:after="40"/>
            </w:pPr>
            <w:r>
              <w:rPr>
                <w:b/>
                <w:i w:val="0"/>
                <w:color w:val="36294F"/>
              </w:rPr>
              <w:t xml:space="preserve">The pulse. </w:t>
            </w:r>
            <w:r>
              <w:rPr>
                <w:b w:val="0"/>
                <w:i w:val="0"/>
              </w:rPr>
              <w:t>The four signals from the AI-Era Listening Set, by team and by manager.</w:t>
            </w:r>
          </w:p>
        </w:tc>
      </w:tr>
    </w:tbl>
    <w:p>
      <w:pPr>
        <w:spacing w:after="0" w:line="80" w:lineRule="exact"/>
      </w:pP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6  </w:t>
            </w:r>
            <w:r>
              <w:rPr>
                <w:b/>
                <w:i w:val="0"/>
                <w:color w:val="36294F"/>
                <w:sz w:val="20"/>
              </w:rPr>
              <w:t>What stops a rollout</w:t>
            </w:r>
          </w:p>
          <w:p>
            <w:pPr>
              <w:spacing w:after="40"/>
            </w:pPr>
            <w:r>
              <w:rPr>
                <w:b w:val="0"/>
                <w:i w:val="0"/>
              </w:rPr>
              <w:t>Any one of the three is enough.</w:t>
            </w:r>
          </w:p>
          <w:p>
            <w:pPr>
              <w:spacing w:after="40"/>
            </w:pPr>
            <w:r>
              <w:rPr>
                <w:b/>
                <w:i w:val="0"/>
                <w:color w:val="36294F"/>
              </w:rPr>
              <w:t xml:space="preserve">A “not yet” </w:t>
            </w:r>
            <w:r>
              <w:rPr>
                <w:b w:val="0"/>
                <w:i w:val="0"/>
              </w:rPr>
              <w:t>on the Manager Readiness Review.</w:t>
            </w:r>
          </w:p>
          <w:p>
            <w:pPr>
              <w:spacing w:after="40"/>
            </w:pPr>
            <w:r>
              <w:rPr>
                <w:b/>
                <w:i w:val="0"/>
                <w:color w:val="36294F"/>
              </w:rPr>
              <w:t xml:space="preserve">A blank </w:t>
            </w:r>
            <w:r>
              <w:rPr>
                <w:b w:val="0"/>
                <w:i w:val="0"/>
              </w:rPr>
              <w:t>in the five names of a consequential rule the rollout will run.</w:t>
            </w:r>
          </w:p>
          <w:p>
            <w:pPr>
              <w:spacing w:after="40"/>
            </w:pPr>
            <w:r>
              <w:rPr>
                <w:b/>
                <w:i w:val="0"/>
                <w:color w:val="36294F"/>
              </w:rPr>
              <w:t xml:space="preserve">A knowledge readiness test </w:t>
            </w:r>
            <w:r>
              <w:rPr>
                <w:b w:val="0"/>
                <w:i w:val="0"/>
              </w:rPr>
              <w:t>the rollout depends on that hasn’t passed.</w:t>
            </w:r>
          </w:p>
        </w:tc>
      </w:tr>
    </w:tbl>
    <w:p>
      <w:pPr>
        <w:spacing w:after="0" w:line="80" w:lineRule="exact"/>
      </w:pPr>
    </w:p>
    <w:tbl>
      <w:tblPr>
        <w:tblW w:type="auto" w:w="0"/>
        <w:tblLook w:firstColumn="1" w:firstRow="1" w:lastColumn="0" w:lastRow="0" w:noHBand="0" w:noVBand="1" w:val="04A0"/>
        <w:jc w:val="center"/>
        <w:tblBorders>
          <w:top w:val="single" w:sz="4" w:color="36294F"/>
          <w:left w:val="single" w:sz="4" w:color="36294F"/>
          <w:bottom w:val="single" w:sz="4" w:color="36294F"/>
          <w:right w:val="single" w:sz="4" w:color="36294F"/>
          <w:insideH w:val="single" w:sz="4" w:color="36294F"/>
          <w:insideV w:val="single" w:sz="4" w:color="36294F"/>
        </w:tblBorders>
      </w:tblPr>
      <w:tblGrid>
        <w:gridCol w:w="9936"/>
      </w:tblGrid>
      <w:tr>
        <w:tc>
          <w:tcPr>
            <w:tcW w:type="dxa" w:w="9936"/>
          </w:tcPr>
          <w:p>
            <w:pPr>
              <w:spacing w:after="40"/>
            </w:pPr>
            <w:r>
              <w:rPr>
                <w:b/>
                <w:i w:val="0"/>
                <w:color w:val="39989E"/>
                <w:sz w:val="20"/>
              </w:rPr>
              <w:t xml:space="preserve">7  </w:t>
            </w:r>
            <w:r>
              <w:rPr>
                <w:b/>
                <w:i w:val="0"/>
                <w:color w:val="36294F"/>
                <w:sz w:val="20"/>
              </w:rPr>
              <w:t>The failure mode</w:t>
            </w:r>
          </w:p>
          <w:p>
            <w:pPr>
              <w:spacing w:after="40"/>
            </w:pPr>
            <w:r>
              <w:rPr>
                <w:b w:val="0"/>
                <w:i w:val="0"/>
              </w:rPr>
              <w:t>A function routes around the council and wins. When that happens, the sponsor answers the exception in writing within forty-eight hours, and the answer is either the council’s decision or an amendment to this charter.</w:t>
            </w:r>
          </w:p>
          <w:p>
            <w:pPr>
              <w:spacing w:after="40"/>
            </w:pPr>
            <w:r>
              <w:rPr>
                <w:b/>
                <w:i w:val="0"/>
                <w:color w:val="36294F"/>
              </w:rPr>
              <w:t xml:space="preserve">Silence is a third answer, </w:t>
            </w:r>
            <w:r>
              <w:rPr>
                <w:b w:val="0"/>
                <w:i w:val="0"/>
              </w:rPr>
              <w:t>and it ends the model.</w:t>
            </w:r>
          </w:p>
        </w:tc>
      </w:tr>
    </w:tbl>
    <w:p>
      <w:pPr>
        <w:spacing w:after="0" w:line="80" w:lineRule="exact"/>
      </w:pPr>
    </w:p>
    <w:tbl>
      <w:tblPr>
        <w:tblW w:type="auto" w:w="0"/>
        <w:tblLook w:firstColumn="1" w:firstRow="1" w:lastColumn="0" w:lastRow="0" w:noHBand="0" w:noVBand="1" w:val="04A0"/>
        <w:tblBorders>
          <w:top w:val="single" w:sz="4" w:color="D9D5E2"/>
          <w:left w:val="single" w:sz="4" w:color="D9D5E2"/>
          <w:bottom w:val="single" w:sz="4" w:color="D9D5E2"/>
          <w:right w:val="single" w:sz="4" w:color="D9D5E2"/>
          <w:insideH w:val="single" w:sz="4" w:color="D9D5E2"/>
          <w:insideV w:val="single" w:sz="4" w:color="D9D5E2"/>
        </w:tblBorders>
      </w:tblPr>
      <w:tblGrid>
        <w:gridCol w:w="1987"/>
        <w:gridCol w:w="1987"/>
        <w:gridCol w:w="1987"/>
        <w:gridCol w:w="1987"/>
        <w:gridCol w:w="1987"/>
      </w:tblGrid>
      <w:tr>
        <w:tc>
          <w:tcPr>
            <w:tcW w:type="dxa" w:w="1987"/>
          </w:tcPr>
          <w:p>
            <w:pPr>
              <w:spacing w:after="200"/>
            </w:pPr>
            <w:r>
              <w:rPr>
                <w:b w:val="0"/>
                <w:i w:val="0"/>
                <w:sz w:val="18"/>
              </w:rPr>
            </w:r>
          </w:p>
        </w:tc>
        <w:tc>
          <w:tcPr>
            <w:tcW w:type="dxa" w:w="1987"/>
          </w:tcPr>
          <w:p>
            <w:pPr>
              <w:spacing w:after="200"/>
            </w:pPr>
            <w:r>
              <w:rPr>
                <w:b w:val="0"/>
                <w:i w:val="0"/>
                <w:sz w:val="18"/>
              </w:rPr>
            </w:r>
          </w:p>
        </w:tc>
        <w:tc>
          <w:tcPr>
            <w:tcW w:type="dxa" w:w="1987"/>
          </w:tcPr>
          <w:p>
            <w:pPr>
              <w:spacing w:after="200"/>
            </w:pPr>
            <w:r>
              <w:rPr>
                <w:b w:val="0"/>
                <w:i w:val="0"/>
                <w:sz w:val="18"/>
              </w:rPr>
            </w:r>
          </w:p>
        </w:tc>
        <w:tc>
          <w:tcPr>
            <w:tcW w:type="dxa" w:w="1987"/>
          </w:tcPr>
          <w:p>
            <w:pPr>
              <w:spacing w:after="200"/>
            </w:pPr>
            <w:r>
              <w:rPr>
                <w:b w:val="0"/>
                <w:i w:val="0"/>
                <w:sz w:val="18"/>
              </w:rPr>
            </w:r>
          </w:p>
        </w:tc>
        <w:tc>
          <w:tcPr>
            <w:tcW w:type="dxa" w:w="1987"/>
          </w:tcPr>
          <w:p>
            <w:pPr>
              <w:spacing w:after="200"/>
            </w:pPr>
            <w:r>
              <w:rPr>
                <w:b w:val="0"/>
                <w:i w:val="0"/>
                <w:sz w:val="18"/>
              </w:rPr>
            </w:r>
          </w:p>
        </w:tc>
      </w:tr>
      <w:tr>
        <w:tc>
          <w:tcPr>
            <w:tcW w:type="dxa" w:w="1987"/>
            <w:shd w:val="clear" w:color="auto" w:fill="F4F2F8"/>
          </w:tcPr>
          <w:p>
            <w:pPr>
              <w:spacing w:after="0"/>
            </w:pPr>
            <w:r>
              <w:rPr>
                <w:b/>
                <w:i w:val="0"/>
                <w:color w:val="36294F"/>
                <w:sz w:val="16"/>
              </w:rPr>
              <w:t>IT</w:t>
            </w:r>
          </w:p>
        </w:tc>
        <w:tc>
          <w:tcPr>
            <w:tcW w:type="dxa" w:w="1987"/>
            <w:shd w:val="clear" w:color="auto" w:fill="F4F2F8"/>
          </w:tcPr>
          <w:p>
            <w:pPr>
              <w:spacing w:after="0"/>
            </w:pPr>
            <w:r>
              <w:rPr>
                <w:b/>
                <w:i w:val="0"/>
                <w:color w:val="36294F"/>
                <w:sz w:val="16"/>
              </w:rPr>
              <w:t>The business</w:t>
            </w:r>
          </w:p>
        </w:tc>
        <w:tc>
          <w:tcPr>
            <w:tcW w:type="dxa" w:w="1987"/>
            <w:shd w:val="clear" w:color="auto" w:fill="F4F2F8"/>
          </w:tcPr>
          <w:p>
            <w:pPr>
              <w:spacing w:after="0"/>
            </w:pPr>
            <w:r>
              <w:rPr>
                <w:b/>
                <w:i w:val="0"/>
                <w:color w:val="36294F"/>
                <w:sz w:val="16"/>
              </w:rPr>
              <w:t>HR</w:t>
            </w:r>
          </w:p>
        </w:tc>
        <w:tc>
          <w:tcPr>
            <w:tcW w:type="dxa" w:w="1987"/>
            <w:shd w:val="clear" w:color="auto" w:fill="F4F2F8"/>
          </w:tcPr>
          <w:p>
            <w:pPr>
              <w:spacing w:after="0"/>
            </w:pPr>
            <w:r>
              <w:rPr>
                <w:b/>
                <w:i w:val="0"/>
                <w:color w:val="36294F"/>
                <w:sz w:val="16"/>
              </w:rPr>
              <w:t>Finance</w:t>
            </w:r>
          </w:p>
        </w:tc>
        <w:tc>
          <w:tcPr>
            <w:tcW w:type="dxa" w:w="1987"/>
            <w:shd w:val="clear" w:color="auto" w:fill="F4F2F8"/>
          </w:tcPr>
          <w:p>
            <w:pPr>
              <w:spacing w:after="0"/>
            </w:pPr>
            <w:r>
              <w:rPr>
                <w:b/>
                <w:i w:val="0"/>
                <w:color w:val="36294F"/>
                <w:sz w:val="16"/>
              </w:rPr>
              <w:t>Executive sponsor</w:t>
            </w:r>
          </w:p>
        </w:tc>
      </w:tr>
    </w:tbl>
    <w:p>
      <w:pPr>
        <w:spacing w:after="0"/>
      </w:pPr>
      <w:r>
        <w:rPr>
          <w:b w:val="0"/>
          <w:i/>
          <w:color w:val="55505F"/>
          <w:sz w:val="16"/>
        </w:rPr>
        <w:t>Signed and dated. Reviewed when the sponsor changes, when a seat changes, and at the first amendment.</w:t>
      </w:r>
    </w:p>
    <w:p>
      <w:r>
        <w:br w:type="page"/>
      </w:r>
    </w:p>
    <w:p>
      <w:pPr>
        <w:spacing w:after="40"/>
      </w:pPr>
      <w:r>
        <w:rPr>
          <w:b/>
          <w:i w:val="0"/>
          <w:color w:val="36294F"/>
          <w:sz w:val="32"/>
        </w:rPr>
        <w:t>Before the First Meeting</w:t>
      </w:r>
    </w:p>
    <w:p>
      <w:pPr>
        <w:spacing w:after="120"/>
      </w:pPr>
      <w:r>
        <w:rPr>
          <w:b/>
          <w:i w:val="0"/>
          <w:color w:val="39989E"/>
          <w:sz w:val="21"/>
        </w:rPr>
        <w:t>Three things the chapter says about councils, earned the hard way.</w:t>
      </w:r>
    </w:p>
    <w:p>
      <w:pPr>
        <w:spacing w:after="100"/>
      </w:pPr>
      <w:r>
        <w:rPr>
          <w:b/>
          <w:i w:val="0"/>
          <w:color w:val="36294F"/>
        </w:rPr>
        <w:t xml:space="preserve">Councils drift. </w:t>
      </w:r>
      <w:r>
        <w:rPr>
          <w:b w:val="0"/>
          <w:i w:val="0"/>
        </w:rPr>
        <w:t>A four-seat body holds real decision rights for exactly as long as an executive sponsor visibly backs its decisions, and not a quarter longer. That is why the charter names the sponsor, the sponsor attends quarterly, and section 7 exists.</w:t>
      </w:r>
    </w:p>
    <w:p>
      <w:pPr>
        <w:spacing w:after="100"/>
      </w:pPr>
      <w:r>
        <w:rPr>
          <w:b/>
          <w:i w:val="0"/>
          <w:color w:val="36294F"/>
        </w:rPr>
        <w:t xml:space="preserve">The test will come in the first six months. </w:t>
      </w:r>
      <w:r>
        <w:rPr>
          <w:b w:val="0"/>
          <w:i w:val="0"/>
        </w:rPr>
        <w:t>It will arrive as an urgent exception. Somebody will need an agent live by Friday without a job description, or a rollout multiplied before the readiness review. How the sponsor answers it is the real governance decision. Guard that moment.</w:t>
      </w:r>
    </w:p>
    <w:p>
      <w:pPr>
        <w:spacing w:after="100"/>
      </w:pPr>
      <w:r>
        <w:rPr>
          <w:b/>
          <w:i w:val="0"/>
          <w:color w:val="36294F"/>
        </w:rPr>
        <w:t xml:space="preserve">What an empty seat costs. </w:t>
      </w:r>
      <w:r>
        <w:rPr>
          <w:b w:val="0"/>
          <w:i w:val="0"/>
        </w:rPr>
        <w:t>AI owned by IT alone produces tool projects: deployment without enablement. HR alone produces process without platforms. An empty business seat produces ownerless rules, and you know what a Sunday rule costs. An empty finance seat produces returns that evaporate unmeasured, which is how transformation budgets die in year two.</w:t>
      </w:r>
    </w:p>
    <w:p>
      <w:pPr>
        <w:spacing w:after="100"/>
      </w:pPr>
      <w:r>
        <w:rPr>
          <w:b/>
          <w:i w:val="0"/>
          <w:color w:val="36294F"/>
        </w:rPr>
        <w:t xml:space="preserve">The workforce number. </w:t>
      </w:r>
      <w:r>
        <w:rPr>
          <w:b w:val="0"/>
          <w:i w:val="0"/>
        </w:rPr>
        <w:t>The workforce now includes agents. Somebody must be able to evaluate the spend on both halves of the workforce in one view. If HR doesn’t claim that seat, finance will, and finance will evaluate it on cost alone. That is exactly how a company ends up cutting the wrong half of its workforce.</w:t>
      </w:r>
    </w:p>
    <w:p>
      <w:pPr>
        <w:spacing w:after="80"/>
      </w:pPr>
    </w:p>
    <w:p>
      <w:pPr>
        <w:spacing w:after="60"/>
      </w:pPr>
      <w:r>
        <w:rPr>
          <w:b/>
          <w:i w:val="0"/>
          <w:color w:val="36294F"/>
          <w:sz w:val="24"/>
        </w:rPr>
        <w:t>The first agenda</w:t>
      </w:r>
    </w:p>
    <w:tbl>
      <w:tblPr>
        <w:tblW w:type="auto" w:w="0"/>
        <w:tblLook w:firstColumn="1" w:firstRow="1" w:lastColumn="0" w:lastRow="0" w:noHBand="0" w:noVBand="1" w:val="04A0"/>
        <w:tblBorders>
          <w:top w:val="single" w:sz="4" w:color="D9D5E2"/>
          <w:left w:val="single" w:sz="4" w:color="D9D5E2"/>
          <w:bottom w:val="single" w:sz="4" w:color="D9D5E2"/>
          <w:right w:val="single" w:sz="4" w:color="D9D5E2"/>
          <w:insideH w:val="single" w:sz="4" w:color="D9D5E2"/>
          <w:insideV w:val="single" w:sz="4" w:color="D9D5E2"/>
        </w:tblBorders>
      </w:tblPr>
      <w:tblGrid>
        <w:gridCol w:w="3312"/>
        <w:gridCol w:w="3312"/>
        <w:gridCol w:w="3312"/>
      </w:tblGrid>
      <w:tr>
        <w:tc>
          <w:tcPr>
            <w:tcW w:type="dxa" w:w="3312"/>
            <w:shd w:val="clear" w:color="auto" w:fill="36294F"/>
          </w:tcPr>
          <w:p>
            <w:pPr>
              <w:spacing w:after="0"/>
            </w:pPr>
            <w:r>
              <w:rPr>
                <w:b/>
                <w:i w:val="0"/>
                <w:color w:val="FFFFFF"/>
                <w:sz w:val="17"/>
              </w:rPr>
              <w:t>Item</w:t>
            </w:r>
          </w:p>
        </w:tc>
        <w:tc>
          <w:tcPr>
            <w:tcW w:type="dxa" w:w="3312"/>
            <w:shd w:val="clear" w:color="auto" w:fill="36294F"/>
          </w:tcPr>
          <w:p>
            <w:pPr>
              <w:spacing w:after="0"/>
            </w:pPr>
            <w:r>
              <w:rPr>
                <w:b/>
                <w:i w:val="0"/>
                <w:color w:val="FFFFFF"/>
                <w:sz w:val="17"/>
              </w:rPr>
              <w:t>Brought by</w:t>
            </w:r>
          </w:p>
        </w:tc>
        <w:tc>
          <w:tcPr>
            <w:tcW w:type="dxa" w:w="3312"/>
            <w:shd w:val="clear" w:color="auto" w:fill="36294F"/>
          </w:tcPr>
          <w:p>
            <w:pPr>
              <w:spacing w:after="0"/>
            </w:pPr>
            <w:r>
              <w:rPr>
                <w:b/>
                <w:i w:val="0"/>
                <w:color w:val="FFFFFF"/>
                <w:sz w:val="17"/>
              </w:rPr>
              <w:t>Decision or finding</w:t>
            </w:r>
          </w:p>
        </w:tc>
      </w:tr>
      <w:tr>
        <w:tc>
          <w:tcPr>
            <w:tcW w:type="dxa" w:w="5184"/>
          </w:tcPr>
          <w:p>
            <w:pPr>
              <w:spacing w:after="0"/>
            </w:pPr>
            <w:r>
              <w:rPr>
                <w:b w:val="0"/>
                <w:i w:val="0"/>
                <w:sz w:val="18"/>
              </w:rPr>
              <w:t>Sign the charter</w:t>
            </w:r>
          </w:p>
        </w:tc>
        <w:tc>
          <w:tcPr>
            <w:tcW w:type="dxa" w:w="2304"/>
          </w:tcPr>
          <w:p>
            <w:pPr>
              <w:spacing w:after="0"/>
            </w:pPr>
            <w:r>
              <w:rPr>
                <w:b w:val="0"/>
                <w:i w:val="0"/>
                <w:color w:val="55505F"/>
                <w:sz w:val="18"/>
              </w:rPr>
              <w:t>HR, convening</w:t>
            </w:r>
          </w:p>
        </w:tc>
        <w:tc>
          <w:tcPr>
            <w:tcW w:type="dxa" w:w="2448"/>
          </w:tcPr>
          <w:p>
            <w:pPr>
              <w:spacing w:after="0"/>
            </w:pPr>
            <w:r>
              <w:rPr>
                <w:b w:val="0"/>
                <w:i w:val="0"/>
                <w:sz w:val="18"/>
              </w:rPr>
            </w:r>
          </w:p>
        </w:tc>
      </w:tr>
      <w:tr>
        <w:tc>
          <w:tcPr>
            <w:tcW w:type="dxa" w:w="5184"/>
          </w:tcPr>
          <w:p>
            <w:pPr>
              <w:spacing w:after="0"/>
            </w:pPr>
            <w:r>
              <w:rPr>
                <w:b w:val="0"/>
                <w:i w:val="0"/>
                <w:sz w:val="18"/>
              </w:rPr>
              <w:t>The agent inventory: what is already running, and what has no owner</w:t>
            </w:r>
          </w:p>
        </w:tc>
        <w:tc>
          <w:tcPr>
            <w:tcW w:type="dxa" w:w="2304"/>
          </w:tcPr>
          <w:p>
            <w:pPr>
              <w:spacing w:after="0"/>
            </w:pPr>
            <w:r>
              <w:rPr>
                <w:b w:val="0"/>
                <w:i w:val="0"/>
                <w:color w:val="55505F"/>
                <w:sz w:val="18"/>
              </w:rPr>
              <w:t>Every function leader</w:t>
            </w:r>
          </w:p>
        </w:tc>
        <w:tc>
          <w:tcPr>
            <w:tcW w:type="dxa" w:w="2448"/>
          </w:tcPr>
          <w:p>
            <w:pPr>
              <w:spacing w:after="0"/>
            </w:pPr>
            <w:r>
              <w:rPr>
                <w:b w:val="0"/>
                <w:i w:val="0"/>
                <w:sz w:val="18"/>
              </w:rPr>
            </w:r>
          </w:p>
        </w:tc>
      </w:tr>
      <w:tr>
        <w:tc>
          <w:tcPr>
            <w:tcW w:type="dxa" w:w="5184"/>
          </w:tcPr>
          <w:p>
            <w:pPr>
              <w:spacing w:after="0"/>
            </w:pPr>
            <w:r>
              <w:rPr>
                <w:b w:val="0"/>
                <w:i w:val="0"/>
                <w:sz w:val="18"/>
              </w:rPr>
              <w:t>The ownership register: the ten rules that touch money, blanks shown</w:t>
            </w:r>
          </w:p>
        </w:tc>
        <w:tc>
          <w:tcPr>
            <w:tcW w:type="dxa" w:w="2304"/>
          </w:tcPr>
          <w:p>
            <w:pPr>
              <w:spacing w:after="0"/>
            </w:pPr>
            <w:r>
              <w:rPr>
                <w:b w:val="0"/>
                <w:i w:val="0"/>
                <w:color w:val="55505F"/>
                <w:sz w:val="18"/>
              </w:rPr>
              <w:t>HR and finance</w:t>
            </w:r>
          </w:p>
        </w:tc>
        <w:tc>
          <w:tcPr>
            <w:tcW w:type="dxa" w:w="2448"/>
          </w:tcPr>
          <w:p>
            <w:pPr>
              <w:spacing w:after="0"/>
            </w:pPr>
            <w:r>
              <w:rPr>
                <w:b w:val="0"/>
                <w:i w:val="0"/>
                <w:sz w:val="18"/>
              </w:rPr>
            </w:r>
          </w:p>
        </w:tc>
      </w:tr>
      <w:tr>
        <w:tc>
          <w:tcPr>
            <w:tcW w:type="dxa" w:w="5184"/>
          </w:tcPr>
          <w:p>
            <w:pPr>
              <w:spacing w:after="0"/>
            </w:pPr>
            <w:r>
              <w:rPr>
                <w:b w:val="0"/>
                <w:i w:val="0"/>
                <w:sz w:val="18"/>
              </w:rPr>
              <w:t>The Work Assignment Matrix for the pilot process</w:t>
            </w:r>
          </w:p>
        </w:tc>
        <w:tc>
          <w:tcPr>
            <w:tcW w:type="dxa" w:w="2304"/>
          </w:tcPr>
          <w:p>
            <w:pPr>
              <w:spacing w:after="0"/>
            </w:pPr>
            <w:r>
              <w:rPr>
                <w:b w:val="0"/>
                <w:i w:val="0"/>
                <w:color w:val="55505F"/>
                <w:sz w:val="18"/>
              </w:rPr>
              <w:t>The business</w:t>
            </w:r>
          </w:p>
        </w:tc>
        <w:tc>
          <w:tcPr>
            <w:tcW w:type="dxa" w:w="2448"/>
          </w:tcPr>
          <w:p>
            <w:pPr>
              <w:spacing w:after="0"/>
            </w:pPr>
            <w:r>
              <w:rPr>
                <w:b w:val="0"/>
                <w:i w:val="0"/>
                <w:sz w:val="18"/>
              </w:rPr>
            </w:r>
          </w:p>
        </w:tc>
      </w:tr>
      <w:tr>
        <w:tc>
          <w:tcPr>
            <w:tcW w:type="dxa" w:w="5184"/>
          </w:tcPr>
          <w:p>
            <w:pPr>
              <w:spacing w:after="0"/>
            </w:pPr>
            <w:r>
              <w:rPr>
                <w:b w:val="0"/>
                <w:i w:val="0"/>
                <w:sz w:val="18"/>
              </w:rPr>
              <w:t>The baseline pulse, by team and by manager</w:t>
            </w:r>
          </w:p>
        </w:tc>
        <w:tc>
          <w:tcPr>
            <w:tcW w:type="dxa" w:w="2304"/>
          </w:tcPr>
          <w:p>
            <w:pPr>
              <w:spacing w:after="0"/>
            </w:pPr>
            <w:r>
              <w:rPr>
                <w:b w:val="0"/>
                <w:i w:val="0"/>
                <w:color w:val="55505F"/>
                <w:sz w:val="18"/>
              </w:rPr>
              <w:t>HR</w:t>
            </w:r>
          </w:p>
        </w:tc>
        <w:tc>
          <w:tcPr>
            <w:tcW w:type="dxa" w:w="2448"/>
          </w:tcPr>
          <w:p>
            <w:pPr>
              <w:spacing w:after="0"/>
            </w:pPr>
            <w:r>
              <w:rPr>
                <w:b w:val="0"/>
                <w:i w:val="0"/>
                <w:sz w:val="18"/>
              </w:rPr>
            </w:r>
          </w:p>
        </w:tc>
      </w:tr>
      <w:tr>
        <w:tc>
          <w:tcPr>
            <w:tcW w:type="dxa" w:w="5184"/>
          </w:tcPr>
          <w:p>
            <w:pPr>
              <w:spacing w:after="0"/>
            </w:pPr>
            <w:r>
              <w:rPr>
                <w:b w:val="0"/>
                <w:i w:val="0"/>
                <w:sz w:val="18"/>
              </w:rPr>
              <w:t>The first scale gate: which rollout is waiting, and its readiness review</w:t>
            </w:r>
          </w:p>
        </w:tc>
        <w:tc>
          <w:tcPr>
            <w:tcW w:type="dxa" w:w="2304"/>
          </w:tcPr>
          <w:p>
            <w:pPr>
              <w:spacing w:after="0"/>
            </w:pPr>
            <w:r>
              <w:rPr>
                <w:b w:val="0"/>
                <w:i w:val="0"/>
                <w:color w:val="55505F"/>
                <w:sz w:val="18"/>
              </w:rPr>
              <w:t>The business and HR</w:t>
            </w:r>
          </w:p>
        </w:tc>
        <w:tc>
          <w:tcPr>
            <w:tcW w:type="dxa" w:w="2448"/>
          </w:tcPr>
          <w:p>
            <w:pPr>
              <w:spacing w:after="0"/>
            </w:pPr>
            <w:r>
              <w:rPr>
                <w:b w:val="0"/>
                <w:i w:val="0"/>
                <w:sz w:val="18"/>
              </w:rPr>
            </w:r>
          </w:p>
        </w:tc>
      </w:tr>
    </w:tbl>
    <w:p>
      <w:pPr>
        <w:spacing w:after="120"/>
      </w:pPr>
    </w:p>
    <w:p>
      <w:pPr>
        <w:spacing w:after="80"/>
      </w:pPr>
      <w:r>
        <w:rPr>
          <w:b/>
          <w:i w:val="0"/>
          <w:color w:val="36294F"/>
        </w:rPr>
        <w:t xml:space="preserve">You’re not asking to own AI. </w:t>
      </w:r>
      <w:r>
        <w:rPr>
          <w:b w:val="0"/>
          <w:i w:val="0"/>
        </w:rPr>
        <w:t>You’re making sure somebody owns the work.</w:t>
      </w:r>
    </w:p>
    <w:p>
      <w:pPr>
        <w:spacing w:after="0"/>
      </w:pPr>
      <w:r>
        <w:rPr>
          <w:b w:val="0"/>
          <w:i/>
          <w:color w:val="2B7A7F"/>
          <w:sz w:val="18"/>
        </w:rPr>
        <w:t>Want the council stood up with you? The 90-day program from the book installs it in days 31 to 60. Book a conversation at onthegrow.ai</w:t>
      </w:r>
    </w:p>
    <w:sectPr w:rsidR="00FC693F" w:rsidRPr="0006063C" w:rsidSect="00034616">
      <w:headerReference w:type="default" r:id="rId9"/>
      <w:footerReference w:type="default" r:id="rId10"/>
      <w:pgSz w:w="12240" w:h="15840"/>
      <w:pgMar w:top="648"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05F"/>
        <w:sz w:val="15"/>
      </w:rPr>
      <w:t>© 2026 Elizabeth A. Corey. All rights reserved. GROWTH Execution Model™.  |  onthegrow.ai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36361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63610" cy="292608"/>
                  </a:xfrm>
                  <a:prstGeom prst="rect"/>
                </pic:spPr>
              </pic:pic>
            </a:graphicData>
          </a:graphic>
        </wp:inline>
      </w:drawing>
    </w:r>
    <w:r>
      <w:rPr>
        <w:i/>
        <w:color w:val="39989E"/>
        <w:sz w:val="16"/>
      </w:rPr>
      <w:tab/>
      <w:tab/>
      <w:t>Toolbox No. 14: The Enablement Council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eastAsia="Arial"/>
      <w:color w:val="26222E"/>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Enablement Council Charter</dc:title>
  <dc:subject/>
  <dc:creator>Elizabeth A. Corey</dc:creator>
  <cp:keywords/>
  <dc:description>generated by python-docx</dc:description>
  <cp:lastModifiedBy/>
  <cp:revision>1</cp:revision>
  <dcterms:created xsi:type="dcterms:W3CDTF">2013-12-23T23:15:00Z</dcterms:created>
  <dcterms:modified xsi:type="dcterms:W3CDTF">2013-12-23T23:15:00Z</dcterms:modified>
  <cp:category/>
</cp:coreProperties>
</file>