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0cef9accd944916b151467f48e6f898f01ceddf"/>
    <w:p>
      <w:pPr>
        <w:pStyle w:val="Titolo1"/>
      </w:pPr>
      <w:r>
        <w:t xml:space="preserve">Digital MOAI: AI-Enhanced Traditional Mutual Aid Networks for Vulnerable Communities</w:t>
      </w:r>
    </w:p>
    <w:p>
      <w:pPr>
        <w:pStyle w:val="FirstParagraph"/>
      </w:pPr>
      <w:r>
        <w:rPr>
          <w:b/>
          <w:bCs/>
        </w:rPr>
        <w:t xml:space="preserve">Presentation Abstract for MASST 2025 Workshop</w:t>
      </w:r>
    </w:p>
    <w:p>
      <w:pPr>
        <w:pStyle w:val="Corpotesto"/>
      </w:pPr>
      <w:r>
        <w:rPr>
          <w:b/>
          <w:bCs/>
        </w:rPr>
        <w:t xml:space="preserve">IEEE/WIC International Conference on Web Intelligence and Intelligent Agent Technology</w:t>
      </w:r>
      <w:r>
        <w:t xml:space="preserve"> </w:t>
      </w:r>
      <w:r>
        <w:rPr>
          <w:b/>
          <w:bCs/>
        </w:rPr>
        <w:t xml:space="preserve">November 14-15, 2025, London, United Kingdom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Kazuko Kotoku</w:t>
      </w:r>
      <w:r>
        <w:t xml:space="preserve"> </w:t>
      </w:r>
      <w:r>
        <w:rPr>
          <w:rFonts w:hint="eastAsia"/>
        </w:rPr>
        <w:t xml:space="preserve">(神徳和子)</w:t>
      </w:r>
      <w:r>
        <w:t xml:space="preserve"> </w:t>
      </w:r>
      <w:r>
        <w:t xml:space="preserve">Department of Fundamental Nursing, School of Nursing</w:t>
      </w:r>
      <w:r>
        <w:t xml:space="preserve"> </w:t>
      </w:r>
      <w:r>
        <w:t xml:space="preserve">Faculty of Medicine, Fukuoka University, Japan</w:t>
      </w:r>
      <w:r>
        <w:t xml:space="preserve"> </w:t>
      </w:r>
      <w:r>
        <w:t xml:space="preserve">Email: [To be provided]</w:t>
      </w:r>
      <w:r>
        <w:t xml:space="preserve"> </w:t>
      </w:r>
      <w:r>
        <w:t xml:space="preserve">Principal Investigator, JSPS KAKENHI Grant Number JP[To be provided]</w:t>
      </w:r>
    </w:p>
    <w:p>
      <w:pPr>
        <w:pStyle w:val="Corpotesto"/>
      </w:pPr>
      <w:r>
        <w:rPr>
          <w:b/>
          <w:bCs/>
        </w:rPr>
        <w:t xml:space="preserve">Yasushi Miyazaki</w:t>
      </w:r>
      <w:r>
        <w:t xml:space="preserve"> </w:t>
      </w:r>
      <w:r>
        <w:t xml:space="preserve">Intelligent Blockchain+ Innovation Research Center</w:t>
      </w:r>
      <w:r>
        <w:t xml:space="preserve"> </w:t>
      </w:r>
      <w:r>
        <w:t xml:space="preserve">Kwansei Gakuin University, Nishinomiya, Japan</w:t>
      </w:r>
      <w:r>
        <w:t xml:space="preserve"> </w:t>
      </w:r>
      <w:r>
        <w:t xml:space="preserve">Email: [To be provided]</w:t>
      </w:r>
      <w:r>
        <w:t xml:space="preserve"> </w:t>
      </w:r>
      <w:r>
        <w:t xml:space="preserve">Research Focus: Disability Studies, Accessibility, Language Policy</w:t>
      </w:r>
    </w:p>
    <w:p>
      <w:pPr>
        <w:pStyle w:val="Corpotesto"/>
      </w:pPr>
      <w:r>
        <w:rPr>
          <w:b/>
          <w:bCs/>
        </w:rPr>
        <w:t xml:space="preserve">Yuri Tijerino</w:t>
      </w:r>
      <w:r>
        <w:t xml:space="preserve"> </w:t>
      </w:r>
      <w:r>
        <w:t xml:space="preserve">(Corresponding Author)</w:t>
      </w:r>
      <w:r>
        <w:t xml:space="preserve"> </w:t>
      </w:r>
      <w:r>
        <w:t xml:space="preserve">Department of Applied Informatics</w:t>
      </w:r>
      <w:r>
        <w:t xml:space="preserve"> </w:t>
      </w:r>
      <w:r>
        <w:t xml:space="preserve">Intelligent Blockchain+ Innovation Research Center</w:t>
      </w:r>
      <w:r>
        <w:t xml:space="preserve"> </w:t>
      </w:r>
      <w:r>
        <w:t xml:space="preserve">Kwansei Gakuin University, Nishinomiya, Japan</w:t>
      </w:r>
      <w:r>
        <w:t xml:space="preserve"> </w:t>
      </w:r>
      <w:r>
        <w:t xml:space="preserve">Email: ontologist@kwansei.ac.jp</w:t>
      </w:r>
    </w:p>
    <w:p>
      <w:pPr>
        <w:pStyle w:val="Corpotesto"/>
      </w:pPr>
      <w:r>
        <w:rPr>
          <w:b/>
          <w:bCs/>
        </w:rPr>
        <w:t xml:space="preserve">Presentation Mode:</w:t>
      </w:r>
      <w:r>
        <w:t xml:space="preserve"> </w:t>
      </w:r>
      <w:r>
        <w:t xml:space="preserve">Online (live or video-based demonstration available upon request)</w:t>
      </w:r>
    </w:p>
    <w:p>
      <w:r>
        <w:pict>
          <v:rect style="width:0;height:1.5pt" o:hralign="center" o:hrstd="t" o:hr="t"/>
        </w:pict>
      </w:r>
    </w:p>
    <w:bookmarkStart w:id="17" w:name="abstract"/>
    <w:p>
      <w:pPr>
        <w:pStyle w:val="Titolo2"/>
      </w:pPr>
      <w:r>
        <w:t xml:space="preserve">Abstract</w:t>
      </w:r>
    </w:p>
    <w:p>
      <w:pPr>
        <w:pStyle w:val="FirstParagraph"/>
      </w:pPr>
      <w:r>
        <w:t xml:space="preserve">Multi-agent systems supporting vulnerable populations face critical challenges in safety, trust calibration, and privacy preservation. We present</w:t>
      </w:r>
      <w:r>
        <w:t xml:space="preserve"> </w:t>
      </w:r>
      <w:r>
        <w:rPr>
          <w:b/>
          <w:bCs/>
        </w:rPr>
        <w:t xml:space="preserve">Digital MOAI</w:t>
      </w:r>
      <w:r>
        <w:t xml:space="preserve">, an AI-enhanced adaptation of traditional Okinawan mutual aid networks </w:t>
      </w:r>
      <w:r>
        <w:rPr>
          <w:rFonts w:hint="eastAsia"/>
        </w:rPr>
        <w:t xml:space="preserve">(模合,</w:t>
      </w:r>
      <w:r>
        <w:t xml:space="preserve"> moai), demonstrating how proven centuries-old human social structures can be augmented—not replaced—by multi-agent artificial intelligence. Built on the privacy-preserving AIngle DLT platform (developed for H2020 FASTER emergency response initiative), Digital MOAI addresses multi-agent safety through: (1) human-centric architectural design preserving traditional five-person support groups, (2) semantic context-awareness enabling cultural and accessibility considerations, (3) user-controlled trust calibration mechanisms, and (4) local-first data architecture ensuring privacy sovereignty. This work contributes an architectural pattern for human-AI hybrid collectives with empirical application to vulnerable populations including individuals with disabilities, housing insecurity, and healthcare needs.</w:t>
      </w:r>
    </w:p>
    <w:p>
      <w:pPr>
        <w:pStyle w:val="Corpotesto"/>
      </w:pPr>
      <w:r>
        <w:rPr>
          <w:b/>
          <w:bCs/>
        </w:rPr>
        <w:t xml:space="preserve">Keywords:</w:t>
      </w:r>
      <w:r>
        <w:t xml:space="preserve"> </w:t>
      </w:r>
      <w:r>
        <w:t xml:space="preserve">Multi-agent systems, human-agent teamwork, accessibility, privacy-preserving systems, community support, disability studies, traditional knowledge</w:t>
      </w:r>
    </w:p>
    <w:p>
      <w:r>
        <w:pict>
          <v:rect style="width:0;height:1.5pt" o:hralign="center" o:hrstd="t" o:hr="t"/>
        </w:pict>
      </w:r>
    </w:p>
    <w:bookmarkEnd w:id="17"/>
    <w:bookmarkStart w:id="21" w:name="i.-significant-risks-and-forecasts"/>
    <w:p>
      <w:pPr>
        <w:pStyle w:val="Titolo2"/>
      </w:pPr>
      <w:r>
        <w:t xml:space="preserve">I. SIGNIFICANT RISKS AND FORECASTS</w:t>
      </w:r>
    </w:p>
    <w:bookmarkStart w:id="18" w:name="Xcdd38d5e4a6ee640ad79d5a533297384fd7f4cd"/>
    <w:p>
      <w:pPr>
        <w:pStyle w:val="Titolo3"/>
      </w:pPr>
      <w:r>
        <w:t xml:space="preserve">A. Safety Risks in Current Multi-Agent Approaches</w:t>
      </w:r>
    </w:p>
    <w:p>
      <w:pPr>
        <w:pStyle w:val="FirstParagraph"/>
      </w:pPr>
      <w:r>
        <w:t xml:space="preserve">Current multi-agent architectures predominantly employ reinforcement learning from human feedback (RLHF) with limited consideration for cultural context, individual autonomy, or privacy preservation [1]. For vulnerable populations—individuals with disabilities, refugees, those experiencing housing instability—AI failures are not mere inconveniences but potential catastrophes: eviction, medical crises, or violation of sensitive personal data.</w:t>
      </w:r>
    </w:p>
    <w:p>
      <w:pPr>
        <w:pStyle w:val="Corpotesto"/>
      </w:pPr>
      <w:r>
        <w:t xml:space="preserve">Existing multi-agent systems for social support prioritize efficiency over safety [2], employ centralized data models incompatible with privacy requirements, and lack mechanisms for cultural context-awareness or accessibility accommodation. Without addressing these challenges through ground-up safety design, multi-agent community support systems risk causing more harm than benefit.</w:t>
      </w:r>
    </w:p>
    <w:bookmarkEnd w:id="18"/>
    <w:bookmarkStart w:id="19" w:name="X97ef9a192aad7798c2c3e06fe870355c30d9d87"/>
    <w:p>
      <w:pPr>
        <w:pStyle w:val="Titolo3"/>
      </w:pPr>
      <w:r>
        <w:t xml:space="preserve">B. Trust Calibration and Observability Challenges</w:t>
      </w:r>
    </w:p>
    <w:p>
      <w:pPr>
        <w:pStyle w:val="FirstParagraph"/>
      </w:pPr>
      <w:r>
        <w:t xml:space="preserve">Multi-agent systems compound trust challenges through opacity, unpredictability, and lack of user control. Vulnerable populations require mutual observability and predictability to develop appropriately calibrated trust relationships [3], yet most implementations provide insufficient transparency about agent decision-making processes and limited mechanisms for human oversight.</w:t>
      </w:r>
    </w:p>
    <w:bookmarkEnd w:id="19"/>
    <w:bookmarkStart w:id="20" w:name="c.-privacy-and-data-sovereignty-risks"/>
    <w:p>
      <w:pPr>
        <w:pStyle w:val="Titolo3"/>
      </w:pPr>
      <w:r>
        <w:t xml:space="preserve">C. Privacy and Data Sovereignty Risks</w:t>
      </w:r>
    </w:p>
    <w:p>
      <w:pPr>
        <w:pStyle w:val="FirstParagraph"/>
      </w:pPr>
      <w:r>
        <w:t xml:space="preserve">Centralized data storage creates existential risks for vulnerable populations: deportation for undocumented immigrants, discrimination for LGBTQ+ individuals, violence for domestic abuse survivors. Traditional multi-agent architectures fail to address these fundamental privacy requirements.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ii.-technical-approach-and-contributions"/>
    <w:p>
      <w:pPr>
        <w:pStyle w:val="Titolo2"/>
      </w:pPr>
      <w:r>
        <w:t xml:space="preserve">II. TECHNICAL APPROACH AND CONTRIBUTIONS</w:t>
      </w:r>
    </w:p>
    <w:bookmarkStart w:id="22" w:name="X8376b9feb35cf0e92d70438120a82968f9fc1dc"/>
    <w:p>
      <w:pPr>
        <w:pStyle w:val="Titolo3"/>
      </w:pPr>
      <w:r>
        <w:t xml:space="preserve">A. Traditional MOAI as Foundational Architecture</w:t>
      </w:r>
    </w:p>
    <w:p>
      <w:pPr>
        <w:pStyle w:val="FirstParagraph"/>
      </w:pPr>
      <w:r>
        <w:rPr>
          <w:b/>
          <w:bCs/>
        </w:rPr>
        <w:t xml:space="preserve">MOAI</w:t>
      </w:r>
      <w:r>
        <w:t xml:space="preserve"> </w:t>
      </w:r>
      <w:r>
        <w:rPr>
          <w:rFonts w:hint="eastAsia"/>
        </w:rPr>
        <w:t xml:space="preserve">(模合)</w:t>
      </w:r>
      <w:r>
        <w:t xml:space="preserve"> represents a centuries-old Okinawan social innovation: mutual aid collectives of exactly five individuals providing lifelong financial, emotional, and practical support [4]. The Okinawa Centenarian Study (1975-present), the world’s longest continuously running longevity research, demonstrates MOAI’s effectiveness: Okinawa historically exhibited the world’s highest concentration of centenarians, with significantly lower rates of cardiovascular disease, cancer, and cognitive decline [5, 6]. Research confirms that social connectedness—with MOAI as foundational structure—correlates strongly with longevity and well-being [7].</w:t>
      </w:r>
    </w:p>
    <w:p>
      <w:pPr>
        <w:pStyle w:val="Corpotesto"/>
      </w:pPr>
      <w:r>
        <w:rPr>
          <w:b/>
          <w:bCs/>
        </w:rPr>
        <w:t xml:space="preserve">Research Question:</w:t>
      </w:r>
      <w:r>
        <w:t xml:space="preserve"> </w:t>
      </w:r>
      <w:r>
        <w:t xml:space="preserve">How can multi-agent AI systems augment traditional mutual aid networks while preserving their essential human-centric properties, particularly when serving populations with diverse accessibility needs?</w:t>
      </w:r>
    </w:p>
    <w:bookmarkEnd w:id="22"/>
    <w:bookmarkStart w:id="23" w:name="b.-design-principles"/>
    <w:p>
      <w:pPr>
        <w:pStyle w:val="Titolo3"/>
      </w:pPr>
      <w:r>
        <w:t xml:space="preserve">B. Design Principles</w:t>
      </w:r>
    </w:p>
    <w:p>
      <w:pPr>
        <w:pStyle w:val="FirstParagraph"/>
      </w:pPr>
      <w:r>
        <w:t xml:space="preserve">Digital MOAI adheres to four core principles: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Human Primacy:</w:t>
      </w:r>
      <w:r>
        <w:t xml:space="preserve"> </w:t>
      </w:r>
      <w:r>
        <w:t xml:space="preserve">AI augments, never replaces, human relationships and decision-making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Accessibility First:</w:t>
      </w:r>
      <w:r>
        <w:t xml:space="preserve"> </w:t>
      </w:r>
      <w:r>
        <w:t xml:space="preserve">Universal design from initial conception, not retrofitted accommodation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Privacy Sovereignty:</w:t>
      </w:r>
      <w:r>
        <w:t xml:space="preserve"> </w:t>
      </w:r>
      <w:r>
        <w:t xml:space="preserve">Users maintain complete control over personal 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Cultural Context-Awareness:</w:t>
      </w:r>
      <w:r>
        <w:t xml:space="preserve"> </w:t>
      </w:r>
      <w:r>
        <w:t xml:space="preserve">System respects diverse norms, values, and communication styles</w:t>
      </w:r>
    </w:p>
    <w:bookmarkEnd w:id="23"/>
    <w:bookmarkStart w:id="24" w:name="c.-multi-agent-architecture"/>
    <w:p>
      <w:pPr>
        <w:pStyle w:val="Titolo3"/>
      </w:pPr>
      <w:r>
        <w:t xml:space="preserve">C. Multi-Agent Architecture</w:t>
      </w:r>
    </w:p>
    <w:p>
      <w:pPr>
        <w:pStyle w:val="FirstParagraph"/>
      </w:pPr>
      <w:r>
        <w:rPr>
          <w:b/>
          <w:bCs/>
        </w:rPr>
        <w:t xml:space="preserve">Traditional MOAI Structure (Preserved):</w:t>
      </w:r>
      <w:r>
        <w:t xml:space="preserve"> </w:t>
      </w:r>
      <w:r>
        <w:t xml:space="preserve">Groups consist of exactly five human members who meet regularly and collectively govern automation policies. The five-person limit prevents surveillance-scale data collection while maintaining manageable, accountable relationships.</w:t>
      </w:r>
    </w:p>
    <w:p>
      <w:pPr>
        <w:pStyle w:val="Corpotesto"/>
      </w:pPr>
      <w:r>
        <w:rPr>
          <w:b/>
          <w:bCs/>
        </w:rPr>
        <w:t xml:space="preserve">AI Agent Roles:</w:t>
      </w:r>
    </w:p>
    <w:p>
      <w:pPr>
        <w:pStyle w:val="Corpotesto"/>
      </w:pPr>
      <w:r>
        <w:rPr>
          <w:i/>
          <w:iCs/>
        </w:rPr>
        <w:t xml:space="preserve">Personal AI Assistants</w:t>
      </w:r>
      <w:r>
        <w:t xml:space="preserve"> </w:t>
      </w:r>
      <w:r>
        <w:t xml:space="preserve">(one per member): Learn individual preferences, accessibility needs, communication styles, and boundaries. Operate under user’s complete control with configurable automation levels (suggestion-only, automatic with notification, automatic with escalation).</w:t>
      </w:r>
    </w:p>
    <w:p>
      <w:pPr>
        <w:pStyle w:val="Corpotesto"/>
      </w:pPr>
      <w:r>
        <w:rPr>
          <w:i/>
          <w:iCs/>
        </w:rPr>
        <w:t xml:space="preserve">Group Coordinator Agent</w:t>
      </w:r>
      <w:r>
        <w:t xml:space="preserve">: Facilitates scheduling considering accessibility requirements (wheelchair-accessible venues, sign language interpretation), monitors for patterns indicating member distress with human verification, and supports—never replaces—collective decision-making.</w:t>
      </w:r>
    </w:p>
    <w:p>
      <w:pPr>
        <w:pStyle w:val="Corpotesto"/>
      </w:pPr>
      <w:r>
        <w:rPr>
          <w:i/>
          <w:iCs/>
        </w:rPr>
        <w:t xml:space="preserve">Accessibility Accommodation Agent</w:t>
      </w:r>
      <w:r>
        <w:t xml:space="preserve">: Dynamically adapts interfaces based on user abilities (visual, auditory, motor, cognitive), provides alternative input/output modalities, ensures WCAG 2.1 AAA compliance [8], and integrates assistive technologies.</w:t>
      </w:r>
    </w:p>
    <w:p>
      <w:pPr>
        <w:pStyle w:val="Corpotesto"/>
      </w:pPr>
      <w:r>
        <w:rPr>
          <w:i/>
          <w:iCs/>
        </w:rPr>
        <w:t xml:space="preserve">Emergency Response Coordinator</w:t>
      </w:r>
      <w:r>
        <w:t xml:space="preserve">: Provides immediate notification of group members during crises, privacy-preserving location sharing (strictly opt-in, time-limited), and automated connection to emergency services with human confirmation.</w:t>
      </w:r>
    </w:p>
    <w:bookmarkEnd w:id="24"/>
    <w:bookmarkStart w:id="25" w:name="d.-aingle-dlt-platform"/>
    <w:p>
      <w:pPr>
        <w:pStyle w:val="Titolo3"/>
      </w:pPr>
      <w:r>
        <w:t xml:space="preserve">D. AIngle DLT Platform</w:t>
      </w:r>
    </w:p>
    <w:p>
      <w:pPr>
        <w:pStyle w:val="FirstParagraph"/>
      </w:pPr>
      <w:r>
        <w:t xml:space="preserve">The AIngle platform, originally developed for H2020 FASTER initiative addressing first responder emergency communication [9], provides: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Privacy-First Architecture:</w:t>
      </w:r>
      <w:r>
        <w:t xml:space="preserve"> </w:t>
      </w:r>
      <w:r>
        <w:t xml:space="preserve">Local data storage, peer-to-peer synchronization, zero-knowledge design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Real-Time Performance:</w:t>
      </w:r>
      <w:r>
        <w:t xml:space="preserve"> </w:t>
      </w:r>
      <w:r>
        <w:t xml:space="preserve">Verified 0.16ms average latency, 7,142 TPS peak throughput [10]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 Knowledge Layer:</w:t>
      </w:r>
      <w:r>
        <w:t xml:space="preserve"> </w:t>
      </w:r>
      <w:r>
        <w:t xml:space="preserve">RDF/OWL ontologies enabling cultural and contextual reasoning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Accessibility Support:</w:t>
      </w:r>
      <w:r>
        <w:t xml:space="preserve"> </w:t>
      </w:r>
      <w:r>
        <w:t xml:space="preserve">Multiple input/output modalities,</w:t>
      </w:r>
      <w:r>
        <w:t xml:space="preserve"> </w:t>
      </w:r>
      <w:r>
        <w:t xml:space="preserve">“Easy Japanese”</w:t>
      </w:r>
      <w:r>
        <w:t xml:space="preserve"> </w:t>
      </w:r>
      <w:r>
        <w:rPr>
          <w:rFonts w:hint="eastAsia"/>
        </w:rPr>
        <w:t xml:space="preserve">(やさしい日本語)</w:t>
      </w:r>
      <w:r>
        <w:t xml:space="preserve"> support [11]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Offline Operation:</w:t>
      </w:r>
      <w:r>
        <w:t xml:space="preserve"> </w:t>
      </w:r>
      <w:r>
        <w:t xml:space="preserve">Full functionality without internet connectivity (critical for underserved areas)</w:t>
      </w:r>
    </w:p>
    <w:bookmarkEnd w:id="25"/>
    <w:bookmarkStart w:id="26" w:name="e.-accessibility-design-integration"/>
    <w:p>
      <w:pPr>
        <w:pStyle w:val="Titolo3"/>
      </w:pPr>
      <w:r>
        <w:t xml:space="preserve">E. Accessibility Design Integration</w:t>
      </w:r>
    </w:p>
    <w:p>
      <w:pPr>
        <w:pStyle w:val="FirstParagraph"/>
      </w:pPr>
      <w:r>
        <w:t xml:space="preserve">Informed by Miyazaki’s research on disability discourse and barrier-free design [12, 13], Digital MOAI incorporates universal design elements across multiple sensory modalities with disability-specific accommodations: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Visual:</w:t>
      </w:r>
      <w:r>
        <w:t xml:space="preserve"> </w:t>
      </w:r>
      <w:r>
        <w:t xml:space="preserve">Screen reader optimization, high-contrast modes, voice-first interaction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Auditory:</w:t>
      </w:r>
      <w:r>
        <w:t xml:space="preserve"> </w:t>
      </w:r>
      <w:r>
        <w:t xml:space="preserve">Visual alerts, text-based communication alternatives, vibration notifications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Motor:</w:t>
      </w:r>
      <w:r>
        <w:t xml:space="preserve"> </w:t>
      </w:r>
      <w:r>
        <w:t xml:space="preserve">Voice control, switch access, simplified gesture interfaces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Cognitive:</w:t>
      </w:r>
      <w:r>
        <w:t xml:space="preserve"> </w:t>
      </w:r>
      <w:r>
        <w:t xml:space="preserve">Progressive disclosure, simplified language modes, visual supports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Cultural/Linguistic:</w:t>
      </w:r>
      <w:r>
        <w:t xml:space="preserve"> </w:t>
      </w:r>
      <w:r>
        <w:t xml:space="preserve">“Easy Japanese”</w:t>
      </w:r>
      <w:r>
        <w:t xml:space="preserve"> </w:t>
      </w:r>
      <w:r>
        <w:t xml:space="preserve">for non-native speakers and persons with cognitive disabilities [11]</w:t>
      </w:r>
    </w:p>
    <w:bookmarkEnd w:id="26"/>
    <w:bookmarkStart w:id="27" w:name="f.-trust-calibration-framework"/>
    <w:p>
      <w:pPr>
        <w:pStyle w:val="Titolo3"/>
      </w:pPr>
      <w:r>
        <w:t xml:space="preserve">F. Trust Calibration Framework</w:t>
      </w:r>
    </w:p>
    <w:p>
      <w:pPr>
        <w:pStyle w:val="FirstParagraph"/>
      </w:pPr>
      <w:r>
        <w:t xml:space="preserve">Digital MOAI provides three user-configurable automation levels:</w:t>
      </w:r>
    </w:p>
    <w:p>
      <w:pPr>
        <w:pStyle w:val="Corpotesto"/>
      </w:pPr>
      <w:r>
        <w:rPr>
          <w:b/>
          <w:bCs/>
        </w:rPr>
        <w:t xml:space="preserve">Level 1 - Suggestion Only</w:t>
      </w:r>
      <w:r>
        <w:t xml:space="preserve"> </w:t>
      </w:r>
      <w:r>
        <w:t xml:space="preserve">(default): AI proposes actions with full reasoning transparency, waits for explicit human approval. Suitable for new users and high-stakes decisions.</w:t>
      </w:r>
    </w:p>
    <w:p>
      <w:pPr>
        <w:pStyle w:val="Corpotesto"/>
      </w:pPr>
      <w:r>
        <w:rPr>
          <w:b/>
          <w:bCs/>
        </w:rPr>
        <w:t xml:space="preserve">Level 2 - Automatic with Notification</w:t>
      </w:r>
      <w:r>
        <w:t xml:space="preserve">: AI takes predefined actions, immediately notifies user with configurable undo window (default: 24 hours). Suitable for routine tasks.</w:t>
      </w:r>
    </w:p>
    <w:p>
      <w:pPr>
        <w:pStyle w:val="Corpotesto"/>
      </w:pPr>
      <w:r>
        <w:rPr>
          <w:b/>
          <w:bCs/>
        </w:rPr>
        <w:t xml:space="preserve">Level 3 - Automatic with Escalation</w:t>
      </w:r>
      <w:r>
        <w:t xml:space="preserve">: AI acts independently for well-defined routine tasks but immediately escalates anomalies, high-risk situations, or requests beyond defined scope. Suitable for experienced users with calibrated trust.</w:t>
      </w:r>
    </w:p>
    <w:p>
      <w:pPr>
        <w:pStyle w:val="Corpotesto"/>
      </w:pPr>
      <w:r>
        <w:t xml:space="preserve">Groups collectively decide automation policies through consensus, ensuring alignment with shared values and individual comfort levels.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fb522f7bd9a3716365759dbd91dd4dda7760945"/>
    <w:p>
      <w:pPr>
        <w:pStyle w:val="Titolo2"/>
      </w:pPr>
      <w:r>
        <w:t xml:space="preserve">III. IMPLEMENTATION STATUS AND VALIDATION</w:t>
      </w:r>
    </w:p>
    <w:bookmarkStart w:id="29" w:name="X509fdd7f2eacceea8f086db719b877bc145679f"/>
    <w:p>
      <w:pPr>
        <w:pStyle w:val="Titolo3"/>
      </w:pPr>
      <w:r>
        <w:t xml:space="preserve">A. Current Development State (October 2025)</w:t>
      </w:r>
    </w:p>
    <w:p>
      <w:pPr>
        <w:pStyle w:val="FirstParagraph"/>
      </w:pPr>
      <w:r>
        <w:rPr>
          <w:b/>
          <w:bCs/>
        </w:rPr>
        <w:t xml:space="preserve">Platform (AIngle DLT) - Production Ready (85% complete):</w:t>
      </w:r>
      <w:r>
        <w:t xml:space="preserve"> </w:t>
      </w:r>
      <w:r>
        <w:t xml:space="preserve">Privacy-preserving distributed architecture, semantic knowledge layer (RDF/OWL), real-time performance verified [10], security and encryption infrastructure, API gateway and monitoring systems</w:t>
      </w:r>
    </w:p>
    <w:p>
      <w:pPr>
        <w:pStyle w:val="Corpotesto"/>
      </w:pPr>
      <w:r>
        <w:rPr>
          <w:b/>
          <w:bCs/>
        </w:rPr>
        <w:t xml:space="preserve">Application (Digital MOAI) - In Progress (40% complete):</w:t>
      </w:r>
      <w:r>
        <w:t xml:space="preserve"> </w:t>
      </w:r>
      <w:r>
        <w:t xml:space="preserve">User interface with accessibility features, personal AI assistant integration, group coordination functionality (in progress); offline operation capabilities, advanced accessibility features, field studies with actual MOAI groups (planned)</w:t>
      </w:r>
    </w:p>
    <w:bookmarkEnd w:id="29"/>
    <w:bookmarkStart w:id="30" w:name="b.-technical-validation"/>
    <w:p>
      <w:pPr>
        <w:pStyle w:val="Titolo3"/>
      </w:pPr>
      <w:r>
        <w:t xml:space="preserve">B. Technical Validation</w:t>
      </w:r>
    </w:p>
    <w:p>
      <w:pPr>
        <w:pStyle w:val="FirstParagraph"/>
      </w:pPr>
      <w:r>
        <w:t xml:space="preserve">Comprehensive benchmarking (2M+ operations) confirms real-time performance suitable for emergency response and accessibility requirements: 0.16ms latency, 100% reliability, minimal resource usage enabling deployment on low-cost devices [10].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X6fde1b6a85da4ca681b61994b276a19f939372b"/>
    <w:p>
      <w:pPr>
        <w:pStyle w:val="Titolo2"/>
      </w:pPr>
      <w:r>
        <w:t xml:space="preserve">IV. DISCUSSION AND SCIENTIFIC CONTRIBUTIONS</w:t>
      </w:r>
    </w:p>
    <w:bookmarkStart w:id="32" w:name="a.-alternative-safety-paradigm"/>
    <w:p>
      <w:pPr>
        <w:pStyle w:val="Titolo3"/>
      </w:pPr>
      <w:r>
        <w:t xml:space="preserve">A. Alternative Safety Paradigm</w:t>
      </w:r>
    </w:p>
    <w:p>
      <w:pPr>
        <w:pStyle w:val="FirstParagraph"/>
      </w:pPr>
      <w:r>
        <w:t xml:space="preserve">Digital MOAI demonstrates an alternative paradigm for multi-agent safety: rather than attempting to make AI</w:t>
      </w:r>
      <w:r>
        <w:t xml:space="preserve"> </w:t>
      </w:r>
      <w:r>
        <w:t xml:space="preserve">“safe”</w:t>
      </w:r>
      <w:r>
        <w:t xml:space="preserve"> </w:t>
      </w:r>
      <w:r>
        <w:t xml:space="preserve">through training alone, embed AI within proven human social structures that provide natural guardrails, accountability, and context. Traditional MOAI’s five-person limit prevents surveillance-scale data collection while AI augmentation preserves this scale while enhancing coordination and accessibility.</w:t>
      </w:r>
    </w:p>
    <w:bookmarkEnd w:id="32"/>
    <w:bookmarkStart w:id="33" w:name="b.-accessibility-as-design-principle"/>
    <w:p>
      <w:pPr>
        <w:pStyle w:val="Titolo3"/>
      </w:pPr>
      <w:r>
        <w:t xml:space="preserve">B. Accessibility as Design Principle</w:t>
      </w:r>
    </w:p>
    <w:p>
      <w:pPr>
        <w:pStyle w:val="FirstParagraph"/>
      </w:pPr>
      <w:r>
        <w:t xml:space="preserve">Integrating disability studies perspectives from project inception reveals broader applicability. Features designed for accessibility (voice control, simplified language, flexible timing) benefit all users, particularly older adults, non-native speakers, and those in high-stress situations. Miyazaki’s research on</w:t>
      </w:r>
      <w:r>
        <w:t xml:space="preserve"> </w:t>
      </w:r>
      <w:r>
        <w:t xml:space="preserve">“Easy Japanese”</w:t>
      </w:r>
      <w:r>
        <w:t xml:space="preserve"> </w:t>
      </w:r>
      <w:r>
        <w:t xml:space="preserve">demonstrates how linguistic accessibility serves multiple populations [13]; Digital MOAI extends this principle across all interaction modalities.</w:t>
      </w:r>
    </w:p>
    <w:bookmarkEnd w:id="33"/>
    <w:bookmarkStart w:id="34" w:name="c.-privacy-and-data-sovereignty"/>
    <w:p>
      <w:pPr>
        <w:pStyle w:val="Titolo3"/>
      </w:pPr>
      <w:r>
        <w:t xml:space="preserve">C. Privacy and Data Sovereignty</w:t>
      </w:r>
    </w:p>
    <w:p>
      <w:pPr>
        <w:pStyle w:val="FirstParagraph"/>
      </w:pPr>
      <w:r>
        <w:t xml:space="preserve">Local-first architecture addresses a fundamental challenge for vulnerable populations: centralized data storage creates existential risks. By eliminating central data aggregation, Digital MOAI enables community support without systemic surveillance.</w:t>
      </w:r>
    </w:p>
    <w:bookmarkEnd w:id="34"/>
    <w:bookmarkStart w:id="35" w:name="d.-key-scientific-contributions"/>
    <w:p>
      <w:pPr>
        <w:pStyle w:val="Titolo3"/>
      </w:pPr>
      <w:r>
        <w:t xml:space="preserve">D. Key Scientific Contributions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Architectural Pattern:</w:t>
      </w:r>
      <w:r>
        <w:t xml:space="preserve"> </w:t>
      </w:r>
      <w:r>
        <w:t xml:space="preserve">Design principles for AI supporting traditional social structures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Accessibility Framework:</w:t>
      </w:r>
      <w:r>
        <w:t xml:space="preserve"> </w:t>
      </w:r>
      <w:r>
        <w:t xml:space="preserve">Integration of disability studies perspectives into multi-agent design from inception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Privacy-Preserving Platform:</w:t>
      </w:r>
      <w:r>
        <w:t xml:space="preserve"> </w:t>
      </w:r>
      <w:r>
        <w:t xml:space="preserve">Local-first architecture enabling data sovereignty with verified real-time performance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Safety Paradigm:</w:t>
      </w:r>
      <w:r>
        <w:t xml:space="preserve"> </w:t>
      </w:r>
      <w:r>
        <w:t xml:space="preserve">“Safety by social structure”</w:t>
      </w:r>
      <w:r>
        <w:t xml:space="preserve"> </w:t>
      </w:r>
      <w:r>
        <w:t xml:space="preserve">where proven human constraints provide natural guardrails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Empirical Framework:</w:t>
      </w:r>
      <w:r>
        <w:t xml:space="preserve"> </w:t>
      </w:r>
      <w:r>
        <w:t xml:space="preserve">Application to vulnerable populations with concrete accessibility and privacy requirements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v.-conclusion"/>
    <w:p>
      <w:pPr>
        <w:pStyle w:val="Titolo2"/>
      </w:pPr>
      <w:r>
        <w:t xml:space="preserve">V. CONCLUSION</w:t>
      </w:r>
    </w:p>
    <w:p>
      <w:pPr>
        <w:pStyle w:val="FirstParagraph"/>
      </w:pPr>
      <w:r>
        <w:t xml:space="preserve">Digital MOAI demonstrates a human-centric approach to multi-agent AI: augmenting centuries-proven social structures (traditional Okinawan MOAI mutual aid networks) with privacy-preserving, accessibility-first technology. By prioritizing human relationships, cultural context, and user control over AI autonomy, this work offers an architectural pattern for multi-agent systems serving vulnerable populations. Future work includes longitudinal studies with diverse MOAI groups and comprehensive accessibility evaluation.</w:t>
      </w:r>
    </w:p>
    <w:p>
      <w:pPr>
        <w:pStyle w:val="Corpotesto"/>
      </w:pPr>
      <w:r>
        <w:rPr>
          <w:b/>
          <w:bCs/>
        </w:rPr>
        <w:t xml:space="preserve">Workshop Demonstration:</w:t>
      </w:r>
      <w:r>
        <w:t xml:space="preserve"> </w:t>
      </w:r>
      <w:r>
        <w:t xml:space="preserve">Live or video-based demonstration of Digital MOAI interface and accessibility features available upon request during presentation.</w:t>
      </w:r>
    </w:p>
    <w:p>
      <w:r>
        <w:pict>
          <v:rect style="width:0;height:1.5pt" o:hralign="center" o:hrstd="t" o:hr="t"/>
        </w:pict>
      </w:r>
    </w:p>
    <w:bookmarkEnd w:id="37"/>
    <w:bookmarkStart w:id="38" w:name="acknowledgments"/>
    <w:p>
      <w:pPr>
        <w:pStyle w:val="Titolo2"/>
      </w:pPr>
      <w:r>
        <w:t xml:space="preserve">ACKNOWLEDGMENTS</w:t>
      </w:r>
    </w:p>
    <w:p>
      <w:pPr>
        <w:pStyle w:val="FirstParagraph"/>
      </w:pPr>
      <w:r>
        <w:t xml:space="preserve">This research is supported by JSPS KAKENHI Grant Number JP[To be provided]. AIngle DLT platform development was partially supported by European Union H2020 FASTER project (Grant Agreement No. 833507). We thank the Okinawan community for inspiration from traditional MOAI practices.</w:t>
      </w:r>
    </w:p>
    <w:p>
      <w:r>
        <w:pict>
          <v:rect style="width:0;height:1.5pt" o:hralign="center" o:hrstd="t" o:hr="t"/>
        </w:pict>
      </w:r>
    </w:p>
    <w:bookmarkEnd w:id="38"/>
    <w:bookmarkStart w:id="39" w:name="references"/>
    <w:p>
      <w:pPr>
        <w:pStyle w:val="Titolo2"/>
      </w:pPr>
      <w:r>
        <w:t xml:space="preserve">REFERENCES</w:t>
      </w:r>
    </w:p>
    <w:p>
      <w:pPr>
        <w:pStyle w:val="FirstParagraph"/>
      </w:pPr>
      <w:r>
        <w:t xml:space="preserve">[1] P. Christiano et al.,</w:t>
      </w:r>
      <w:r>
        <w:t xml:space="preserve"> </w:t>
      </w:r>
      <w:r>
        <w:t xml:space="preserve">“Deep reinforcement learning from human preferences,”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vol. 30, 2017.</w:t>
      </w:r>
    </w:p>
    <w:p>
      <w:pPr>
        <w:pStyle w:val="Corpotesto"/>
      </w:pPr>
      <w:r>
        <w:t xml:space="preserve">[2] N. R. Jennings et al.,</w:t>
      </w:r>
      <w:r>
        <w:t xml:space="preserve"> </w:t>
      </w:r>
      <w:r>
        <w:t xml:space="preserve">“Autonomous agents for business process management,”</w:t>
      </w:r>
      <w:r>
        <w:t xml:space="preserve"> </w:t>
      </w:r>
      <w:r>
        <w:rPr>
          <w:i/>
          <w:iCs/>
        </w:rPr>
        <w:t xml:space="preserve">Applied Artificial Intelligence</w:t>
      </w:r>
      <w:r>
        <w:t xml:space="preserve">, vol. 14, no. 2, pp. 145-189, 2000.</w:t>
      </w:r>
    </w:p>
    <w:p>
      <w:pPr>
        <w:pStyle w:val="Corpotesto"/>
      </w:pPr>
      <w:r>
        <w:t xml:space="preserve">[3] J. M. Bradshaw et al.,</w:t>
      </w:r>
      <w:r>
        <w:t xml:space="preserve"> </w:t>
      </w:r>
      <w:r>
        <w:t xml:space="preserve">“Human-Agent-Robot Teamwork,”</w:t>
      </w:r>
      <w:r>
        <w:t xml:space="preserve"> </w:t>
      </w:r>
      <w:r>
        <w:rPr>
          <w:i/>
          <w:iCs/>
        </w:rPr>
        <w:t xml:space="preserve">IEEE Intelligent Systems</w:t>
      </w:r>
      <w:r>
        <w:t xml:space="preserve">, vol. 27, no. 2, pp. 8-13, 2012.</w:t>
      </w:r>
    </w:p>
    <w:p>
      <w:pPr>
        <w:pStyle w:val="Corpotesto"/>
      </w:pPr>
      <w:r>
        <w:t xml:space="preserve">[4] D. Buettner,</w:t>
      </w:r>
      <w:r>
        <w:t xml:space="preserve"> </w:t>
      </w:r>
      <w:r>
        <w:rPr>
          <w:i/>
          <w:iCs/>
        </w:rPr>
        <w:t xml:space="preserve">The Blue Zones: Lessons for Living Longer from the People Who’ve Lived the Longest</w:t>
      </w:r>
      <w:r>
        <w:t xml:space="preserve">, National Geographic Society, 2008.</w:t>
      </w:r>
    </w:p>
    <w:p>
      <w:pPr>
        <w:pStyle w:val="Corpotesto"/>
      </w:pPr>
      <w:r>
        <w:t xml:space="preserve">[5] M. Suzuki, B. J. Willcox, and D. C. Willcox,</w:t>
      </w:r>
      <w:r>
        <w:t xml:space="preserve"> </w:t>
      </w:r>
      <w:r>
        <w:t xml:space="preserve">“Implications from and for food cultures for cardiovascular disease: longevity,”</w:t>
      </w:r>
      <w:r>
        <w:t xml:space="preserve"> </w:t>
      </w:r>
      <w:r>
        <w:rPr>
          <w:i/>
          <w:iCs/>
        </w:rPr>
        <w:t xml:space="preserve">Asia Pacific Journal of Clinical Nutrition</w:t>
      </w:r>
      <w:r>
        <w:t xml:space="preserve">, vol. 10, no. 2, pp. 165-171, 2001.</w:t>
      </w:r>
    </w:p>
    <w:p>
      <w:pPr>
        <w:pStyle w:val="Corpotesto"/>
      </w:pPr>
      <w:r>
        <w:t xml:space="preserve">[6] M. Poulain et al.,</w:t>
      </w:r>
      <w:r>
        <w:t xml:space="preserve"> </w:t>
      </w:r>
      <w:r>
        <w:t xml:space="preserve">“Exceptional longevity in Okinawa: Demographic trends since 1975,”</w:t>
      </w:r>
      <w:r>
        <w:t xml:space="preserve"> </w:t>
      </w:r>
      <w:r>
        <w:rPr>
          <w:i/>
          <w:iCs/>
        </w:rPr>
        <w:t xml:space="preserve">Journal of Internal Medicine</w:t>
      </w:r>
      <w:r>
        <w:t xml:space="preserve">, vol. 295, no. 1, pp. 145-154, 2024. DOI: 10.1111/joim.13764</w:t>
      </w:r>
    </w:p>
    <w:p>
      <w:pPr>
        <w:pStyle w:val="Corpotesto"/>
      </w:pPr>
      <w:r>
        <w:t xml:space="preserve">[7] B. J. Willcox and D. C. Willcox,</w:t>
      </w:r>
      <w:r>
        <w:t xml:space="preserve"> </w:t>
      </w:r>
      <w:r>
        <w:t xml:space="preserve">“Okinawan Centenarian Study: Investigating Healthy Aging among the World’s Longest-Lived People,”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Routledge Handbook of Global Public Health</w:t>
      </w:r>
      <w:r>
        <w:t xml:space="preserve">, 2020.</w:t>
      </w:r>
    </w:p>
    <w:p>
      <w:pPr>
        <w:pStyle w:val="Corpotesto"/>
      </w:pPr>
      <w:r>
        <w:t xml:space="preserve">[8] World Wide Web Consortium (W3C),</w:t>
      </w:r>
      <w:r>
        <w:t xml:space="preserve"> </w:t>
      </w:r>
      <w:r>
        <w:t xml:space="preserve">“Web Content Accessibility Guidelines (WCAG) 2.1,”</w:t>
      </w:r>
      <w:r>
        <w:t xml:space="preserve"> </w:t>
      </w:r>
      <w:r>
        <w:t xml:space="preserve">W3C Recommendation, June 2018. [Online]. Available: https://www.w3.org/TR/WCAG21/</w:t>
      </w:r>
    </w:p>
    <w:p>
      <w:pPr>
        <w:pStyle w:val="Corpotesto"/>
      </w:pPr>
      <w:r>
        <w:t xml:space="preserve">[9] EU H2020 FASTER Project,</w:t>
      </w:r>
      <w:r>
        <w:t xml:space="preserve"> </w:t>
      </w:r>
      <w:r>
        <w:t xml:space="preserve">“First Responder Advanced Technologies for Safe and Efficient Emergency Response,”</w:t>
      </w:r>
      <w:r>
        <w:t xml:space="preserve"> </w:t>
      </w:r>
      <w:r>
        <w:t xml:space="preserve">Grant Agreement No. 833507, 2019-2022. [Online]. Available: https://www.faster-project.eu</w:t>
      </w:r>
    </w:p>
    <w:p>
      <w:pPr>
        <w:pStyle w:val="Corpotesto"/>
      </w:pPr>
      <w:r>
        <w:t xml:space="preserve">[10] Y. Tijerino,</w:t>
      </w:r>
      <w:r>
        <w:t xml:space="preserve"> </w:t>
      </w:r>
      <w:r>
        <w:t xml:space="preserve">“AIngle DLT Comprehensive Performance Benchmark Report,”</w:t>
      </w:r>
      <w:r>
        <w:t xml:space="preserve"> </w:t>
      </w:r>
      <w:r>
        <w:t xml:space="preserve">Technical Report, Kwansei Gakuin University, July 2025. [Online]. Available: https://github.com/blockinnovation/aingle-dlt</w:t>
      </w:r>
    </w:p>
    <w:p>
      <w:pPr>
        <w:pStyle w:val="Corpotesto"/>
      </w:pPr>
      <w:r>
        <w:t xml:space="preserve">[11] A. Iori,</w:t>
      </w:r>
      <w:r>
        <w:t xml:space="preserve"> </w:t>
      </w:r>
      <w:r>
        <w:t xml:space="preserve">“The role of</w:t>
      </w:r>
      <w:r>
        <w:t xml:space="preserve"> </w:t>
      </w:r>
      <w:r>
        <w:t xml:space="preserve">‘easy Japanese’</w:t>
      </w:r>
      <w:r>
        <w:t xml:space="preserve"> </w:t>
      </w:r>
      <w:r>
        <w:t xml:space="preserve">in disaster information and social inclusion,”</w:t>
      </w:r>
      <w:r>
        <w:t xml:space="preserve"> </w:t>
      </w:r>
      <w:r>
        <w:rPr>
          <w:i/>
          <w:iCs/>
        </w:rPr>
        <w:t xml:space="preserve">International Journal of Disaster Risk Reduction</w:t>
      </w:r>
      <w:r>
        <w:t xml:space="preserve">, vol. 51, 101812, 2020.</w:t>
      </w:r>
    </w:p>
    <w:p>
      <w:pPr>
        <w:pStyle w:val="Corpotesto"/>
      </w:pPr>
      <w:r>
        <w:t xml:space="preserve">[12] Y. Miyazaki,</w:t>
      </w:r>
      <w:r>
        <w:t xml:space="preserve"> </w:t>
      </w:r>
      <w:r>
        <w:t xml:space="preserve">“Review of</w:t>
      </w:r>
      <w:r>
        <w:t xml:space="preserve"> </w:t>
      </w:r>
      <w:r>
        <w:t xml:space="preserve">‘More Than Medals: A History of the Paralympics and Disability Sports in Postwar Japan’</w:t>
      </w:r>
      <w:r>
        <w:t xml:space="preserve"> </w:t>
      </w:r>
      <w:r>
        <w:t xml:space="preserve">by Dennis J. Frost,”</w:t>
      </w:r>
      <w:r>
        <w:t xml:space="preserve"> </w:t>
      </w:r>
      <w:r>
        <w:rPr>
          <w:i/>
          <w:iCs/>
        </w:rPr>
        <w:t xml:space="preserve">H-Disability</w:t>
      </w:r>
      <w:r>
        <w:t xml:space="preserve">, H-Net Reviews, March 2022. [Online]. Available: https://networks.h-net.org/node/4189/reviews/9854904/</w:t>
      </w:r>
    </w:p>
    <w:p>
      <w:pPr>
        <w:pStyle w:val="Corpotesto"/>
      </w:pPr>
      <w:r>
        <w:t xml:space="preserve">[13] Y. Miyazaki,</w:t>
      </w:r>
      <w:r>
        <w:t xml:space="preserve"> </w:t>
      </w:r>
      <w:r>
        <w:t xml:space="preserve">“Yasashii Nihongo (Easy Japanese) on community media: Focusing on radio broadcasting,”</w:t>
      </w:r>
      <w:r>
        <w:t xml:space="preserve"> </w:t>
      </w:r>
      <w:r>
        <w:rPr>
          <w:i/>
          <w:iCs/>
        </w:rPr>
        <w:t xml:space="preserve">KGPS Review: Kwansei Gakuin Policy Studies Review</w:t>
      </w:r>
      <w:r>
        <w:t xml:space="preserve">, vol. 8, pp. 1-14, 2007. (in Japanese)</w:t>
      </w:r>
    </w:p>
    <w:bookmarkEnd w:id="39"/>
    <w:bookmarkEnd w:id="40"/>
    <w:sectPr w:rsidR="00C2692F" w:rsidRPr="007A28F1" w:rsidSect="008479F7">
      <w:headerReference r:id="rId8" w:type="default"/>
      <w:pgSz w:code="1" w:h="15840" w:w="12240"/>
      <w:pgMar w:bottom="1080" w:footer="432" w:gutter="0" w:header="432" w:left="1080" w:right="1080" w:top="1080"/>
      <w:cols w:num="2" w:space="288"/>
      <w:docGrid w:linePitch="27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FA1AD" w14:textId="77777777" w:rsidR="00C2692F" w:rsidRDefault="00C2692F">
    <w:pPr>
      <w:framePr w:wrap="auto" w:vAnchor="text" w:hAnchor="margin" w:xAlign="right" w:y="1"/>
    </w:pPr>
  </w:p>
  <w:p w14:paraId="61EA4B41" w14:textId="77777777" w:rsidR="00C2692F" w:rsidRDefault="00C2692F" w:rsidP="00C2692F">
    <w:pPr>
      <w:ind w:right="360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FB"/>
    <w:multiLevelType w:val="multilevel"/>
    <w:tmpl w:val="2E085744"/>
    <w:lvl w:ilvl="0">
      <w:start w:val="1"/>
      <w:numFmt w:val="upperRoman"/>
      <w:pStyle w:val="Titolo1"/>
      <w:lvlText w:val="%1."/>
      <w:legacy w:legacy="1" w:legacyIndent="144" w:legacySpace="144"/>
      <w:lvlJc w:val="left"/>
    </w:lvl>
    <w:lvl w:ilvl="1">
      <w:start w:val="1"/>
      <w:numFmt w:val="upperLetter"/>
      <w:pStyle w:val="Titolo2"/>
      <w:lvlText w:val="%2."/>
      <w:legacy w:legacy="1" w:legacyIndent="144" w:legacySpace="144"/>
      <w:lvlJc w:val="left"/>
    </w:lvl>
    <w:lvl w:ilvl="2">
      <w:start w:val="1"/>
      <w:numFmt w:val="decimal"/>
      <w:pStyle w:val="Titolo3"/>
      <w:lvlText w:val="%3)"/>
      <w:legacy w:legacy="1" w:legacyIndent="144" w:legacySpace="144"/>
      <w:lvlJc w:val="left"/>
    </w:lvl>
    <w:lvl w:ilvl="3">
      <w:start w:val="1"/>
      <w:numFmt w:val="lowerLetter"/>
      <w:pStyle w:val="Titolo4"/>
      <w:lvlText w:val="%4)"/>
      <w:legacy w:legacy="1" w:legacyIndent="720" w:legacySpace="0"/>
      <w:lvlJc w:val="left"/>
      <w:pPr>
        <w:ind w:hanging="720" w:left="1152"/>
      </w:pPr>
    </w:lvl>
    <w:lvl w:ilvl="4">
      <w:start w:val="1"/>
      <w:numFmt w:val="decimal"/>
      <w:pStyle w:val="Titolo5"/>
      <w:lvlText w:val="(%5)"/>
      <w:legacy w:legacy="1" w:legacyIndent="720" w:legacySpace="0"/>
      <w:lvlJc w:val="left"/>
      <w:pPr>
        <w:ind w:hanging="720" w:left="1872"/>
      </w:pPr>
    </w:lvl>
    <w:lvl w:ilvl="5">
      <w:start w:val="1"/>
      <w:numFmt w:val="lowerLetter"/>
      <w:pStyle w:val="Titolo6"/>
      <w:lvlText w:val="(%6)"/>
      <w:legacy w:legacy="1" w:legacyIndent="720" w:legacySpace="0"/>
      <w:lvlJc w:val="left"/>
      <w:pPr>
        <w:ind w:hanging="720" w:left="2592"/>
      </w:pPr>
    </w:lvl>
    <w:lvl w:ilvl="6">
      <w:start w:val="1"/>
      <w:numFmt w:val="lowerRoman"/>
      <w:pStyle w:val="Titolo7"/>
      <w:lvlText w:val="(%7)"/>
      <w:legacy w:legacy="1" w:legacyIndent="720" w:legacySpace="0"/>
      <w:lvlJc w:val="left"/>
      <w:pPr>
        <w:ind w:hanging="720" w:left="3312"/>
      </w:pPr>
    </w:lvl>
    <w:lvl w:ilvl="7">
      <w:start w:val="1"/>
      <w:numFmt w:val="lowerLetter"/>
      <w:pStyle w:val="Titolo8"/>
      <w:lvlText w:val="(%8)"/>
      <w:legacy w:legacy="1" w:legacyIndent="720" w:legacySpace="0"/>
      <w:lvlJc w:val="left"/>
      <w:pPr>
        <w:ind w:hanging="720" w:left="4032"/>
      </w:pPr>
    </w:lvl>
    <w:lvl w:ilvl="8">
      <w:start w:val="1"/>
      <w:numFmt w:val="lowerRoman"/>
      <w:pStyle w:val="Titolo9"/>
      <w:lvlText w:val="(%9)"/>
      <w:legacy w:legacy="1" w:legacyIndent="720" w:legacySpace="0"/>
      <w:lvlJc w:val="left"/>
      <w:pPr>
        <w:ind w:hanging="720" w:left="4752"/>
      </w:pPr>
    </w:lvl>
  </w:abstractNum>
  <w:abstractNum w15:restartNumberingAfterBreak="0" w:abstractNumId="1">
    <w:nsid w:val="1B0B1D66"/>
    <w:multiLevelType w:val="singleLevel"/>
    <w:tmpl w:val="0BEC9FB0"/>
    <w:lvl w:ilvl="0">
      <w:start w:val="1"/>
      <w:numFmt w:val="none"/>
      <w:lvlText w:val=""/>
      <w:legacy w:legacy="1" w:legacyIndent="0" w:legacySpace="0"/>
      <w:lvlJc w:val="left"/>
      <w:pPr>
        <w:ind w:left="288"/>
      </w:pPr>
    </w:lvl>
  </w:abstractNum>
  <w:abstractNum w15:restartNumberingAfterBreak="0" w:abstractNumId="2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3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4">
    <w:nsid w:val="2F8B23F8"/>
    <w:multiLevelType w:val="singleLevel"/>
    <w:tmpl w:val="12CEED98"/>
    <w:lvl w:ilvl="0">
      <w:start w:val="1"/>
      <w:numFmt w:val="decimal"/>
      <w:lvlText w:val="%1."/>
      <w:legacy w:legacy="1" w:legacyIndent="360" w:legacySpace="0"/>
      <w:lvlJc w:val="left"/>
      <w:pPr>
        <w:ind w:hanging="360" w:left="360"/>
      </w:pPr>
    </w:lvl>
  </w:abstractNum>
  <w:abstractNum w15:restartNumberingAfterBreak="0" w:abstractNumId="5">
    <w:nsid w:val="37660336"/>
    <w:multiLevelType w:val="hybridMultilevel"/>
    <w:tmpl w:val="EA402BE8"/>
    <w:lvl w:ilvl="0" w:tplc="D1FC46B0">
      <w:start w:val="1"/>
      <w:numFmt w:val="bullet"/>
      <w:pStyle w:val="bulletlist"/>
      <w:lvlText w:val=""/>
      <w:lvlJc w:val="left"/>
      <w:pPr>
        <w:tabs>
          <w:tab w:pos="648" w:val="num"/>
        </w:tabs>
        <w:ind w:hanging="360" w:left="64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7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47332F9F"/>
    <w:multiLevelType w:val="singleLevel"/>
    <w:tmpl w:val="488EC81A"/>
    <w:lvl w:ilvl="0">
      <w:start w:val="1"/>
      <w:numFmt w:val="decimal"/>
      <w:lvlText w:val="%1."/>
      <w:legacy w:legacy="1" w:legacyIndent="360" w:legacySpace="0"/>
      <w:lvlJc w:val="left"/>
      <w:pPr>
        <w:ind w:hanging="360" w:left="360"/>
      </w:pPr>
    </w:lvl>
  </w:abstractNum>
  <w:abstractNum w15:restartNumberingAfterBreak="0" w:abstractNumId="9">
    <w:nsid w:val="4D0B59CF"/>
    <w:multiLevelType w:val="singleLevel"/>
    <w:tmpl w:val="4A4223A6"/>
    <w:lvl w:ilvl="0">
      <w:start w:val="1"/>
      <w:numFmt w:val="decimal"/>
      <w:lvlText w:val="%1."/>
      <w:legacy w:legacy="1" w:legacyIndent="360" w:legacySpace="0"/>
      <w:lvlJc w:val="left"/>
      <w:pPr>
        <w:ind w:hanging="360" w:left="360"/>
      </w:pPr>
    </w:lvl>
  </w:abstractNum>
  <w:abstractNum w15:restartNumberingAfterBreak="0" w:abstractNumId="10">
    <w:nsid w:val="55630736"/>
    <w:multiLevelType w:val="singleLevel"/>
    <w:tmpl w:val="0BEC9FB0"/>
    <w:lvl w:ilvl="0">
      <w:start w:val="1"/>
      <w:numFmt w:val="none"/>
      <w:lvlText w:val=""/>
      <w:legacy w:legacy="1" w:legacyIndent="0" w:legacySpace="0"/>
      <w:lvlJc w:val="left"/>
      <w:pPr>
        <w:ind w:left="288"/>
      </w:pPr>
    </w:lvl>
  </w:abstractNum>
  <w:abstractNum w15:restartNumberingAfterBreak="0" w:abstractNumId="11">
    <w:nsid w:val="6C402C58"/>
    <w:multiLevelType w:val="hybridMultilevel"/>
    <w:tmpl w:val="F1F87D58"/>
    <w:lvl w:ilvl="0" w:tplc="FC5CE4B0">
      <w:start w:val="1"/>
      <w:numFmt w:val="decimal"/>
      <w:pStyle w:val="figurecaption"/>
      <w:lvlText w:val="Figure %1. "/>
      <w:lvlJc w:val="left"/>
      <w:pPr>
        <w:tabs>
          <w:tab w:pos="720" w:val="num"/>
        </w:tabs>
      </w:pPr>
      <w:rPr>
        <w:rFonts w:ascii="Times New Roman" w:cs="Times New Roman" w:hAnsi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  <w:rPr>
        <w:rFonts w:cs="Times New Roman"/>
      </w:rPr>
    </w:lvl>
  </w:abstractNum>
  <w:abstractNum w15:restartNumberingAfterBreak="0" w:abstractNumId="12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pos="1080" w:val="num"/>
        </w:tabs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15:restartNumberingAfterBreak="0" w:abstractNumId="13">
    <w:nsid w:val="6DC3293B"/>
    <w:multiLevelType w:val="singleLevel"/>
    <w:tmpl w:val="0450B0AA"/>
    <w:lvl w:ilvl="0">
      <w:start w:val="1"/>
      <w:numFmt w:val="decimal"/>
      <w:lvlText w:val="[%1]"/>
      <w:lvlJc w:val="left"/>
      <w:pPr>
        <w:tabs>
          <w:tab w:pos="360" w:val="num"/>
        </w:tabs>
        <w:ind w:hanging="360" w:left="360"/>
      </w:pPr>
      <w:rPr>
        <w:sz w:val="18"/>
        <w:szCs w:val="18"/>
      </w:rPr>
    </w:lvl>
  </w:abstractNum>
  <w:abstractNum w15:restartNumberingAfterBreak="0" w:abstractNumId="14">
    <w:nsid w:val="77E315E9"/>
    <w:multiLevelType w:val="singleLevel"/>
    <w:tmpl w:val="0BEC9FB0"/>
    <w:lvl w:ilvl="0">
      <w:start w:val="1"/>
      <w:numFmt w:val="none"/>
      <w:lvlText w:val=""/>
      <w:legacy w:legacy="1" w:legacyIndent="0" w:legacySpace="0"/>
      <w:lvlJc w:val="left"/>
      <w:pPr>
        <w:ind w:left="288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6099266" w:numId="1">
    <w:abstractNumId w:val="0"/>
  </w:num>
  <w:num w16cid:durableId="1246066986" w:numId="2">
    <w:abstractNumId w:val="4"/>
  </w:num>
  <w:num w16cid:durableId="170488595" w:numId="3">
    <w:abstractNumId w:val="4"/>
    <w:lvlOverride w:ilvl="0">
      <w:lvl w:ilvl="0">
        <w:start w:val="1"/>
        <w:numFmt w:val="decimal"/>
        <w:lvlText w:val="%1."/>
        <w:legacy w:legacy="1" w:legacyIndent="360" w:legacySpace="0"/>
        <w:lvlJc w:val="left"/>
        <w:pPr>
          <w:ind w:hanging="360" w:left="360"/>
        </w:pPr>
      </w:lvl>
    </w:lvlOverride>
  </w:num>
  <w:num w16cid:durableId="2118207662" w:numId="4">
    <w:abstractNumId w:val="4"/>
    <w:lvlOverride w:ilvl="0">
      <w:lvl w:ilvl="0">
        <w:start w:val="1"/>
        <w:numFmt w:val="decimal"/>
        <w:lvlText w:val="%1."/>
        <w:legacy w:legacy="1" w:legacyIndent="360" w:legacySpace="0"/>
        <w:lvlJc w:val="left"/>
        <w:pPr>
          <w:ind w:hanging="360" w:left="360"/>
        </w:pPr>
      </w:lvl>
    </w:lvlOverride>
  </w:num>
  <w:num w16cid:durableId="55782642" w:numId="5">
    <w:abstractNumId w:val="4"/>
    <w:lvlOverride w:ilvl="0">
      <w:lvl w:ilvl="0">
        <w:start w:val="1"/>
        <w:numFmt w:val="decimal"/>
        <w:lvlText w:val="%1."/>
        <w:legacy w:legacy="1" w:legacyIndent="360" w:legacySpace="0"/>
        <w:lvlJc w:val="left"/>
        <w:pPr>
          <w:ind w:hanging="360" w:left="360"/>
        </w:pPr>
      </w:lvl>
    </w:lvlOverride>
  </w:num>
  <w:num w16cid:durableId="52781481" w:numId="6">
    <w:abstractNumId w:val="8"/>
  </w:num>
  <w:num w16cid:durableId="1525290772" w:numId="7">
    <w:abstractNumId w:val="8"/>
    <w:lvlOverride w:ilvl="0">
      <w:lvl w:ilvl="0">
        <w:start w:val="1"/>
        <w:numFmt w:val="decimal"/>
        <w:lvlText w:val="%1."/>
        <w:legacy w:legacy="1" w:legacyIndent="360" w:legacySpace="0"/>
        <w:lvlJc w:val="left"/>
        <w:pPr>
          <w:ind w:hanging="360" w:left="360"/>
        </w:pPr>
      </w:lvl>
    </w:lvlOverride>
  </w:num>
  <w:num w16cid:durableId="121465334" w:numId="8">
    <w:abstractNumId w:val="8"/>
    <w:lvlOverride w:ilvl="0">
      <w:lvl w:ilvl="0">
        <w:start w:val="1"/>
        <w:numFmt w:val="decimal"/>
        <w:lvlText w:val="%1."/>
        <w:legacy w:legacy="1" w:legacyIndent="360" w:legacySpace="0"/>
        <w:lvlJc w:val="left"/>
        <w:pPr>
          <w:ind w:hanging="360" w:left="360"/>
        </w:pPr>
      </w:lvl>
    </w:lvlOverride>
  </w:num>
  <w:num w16cid:durableId="1663318210" w:numId="9">
    <w:abstractNumId w:val="8"/>
    <w:lvlOverride w:ilvl="0">
      <w:lvl w:ilvl="0">
        <w:start w:val="1"/>
        <w:numFmt w:val="decimal"/>
        <w:lvlText w:val="%1."/>
        <w:legacy w:legacy="1" w:legacyIndent="360" w:legacySpace="0"/>
        <w:lvlJc w:val="left"/>
        <w:pPr>
          <w:ind w:hanging="360" w:left="360"/>
        </w:pPr>
      </w:lvl>
    </w:lvlOverride>
  </w:num>
  <w:num w16cid:durableId="491531496" w:numId="10">
    <w:abstractNumId w:val="8"/>
    <w:lvlOverride w:ilvl="0">
      <w:lvl w:ilvl="0">
        <w:start w:val="1"/>
        <w:numFmt w:val="decimal"/>
        <w:lvlText w:val="%1."/>
        <w:legacy w:legacy="1" w:legacyIndent="360" w:legacySpace="0"/>
        <w:lvlJc w:val="left"/>
        <w:pPr>
          <w:ind w:hanging="360" w:left="360"/>
        </w:pPr>
      </w:lvl>
    </w:lvlOverride>
  </w:num>
  <w:num w16cid:durableId="192812773" w:numId="11">
    <w:abstractNumId w:val="8"/>
    <w:lvlOverride w:ilvl="0">
      <w:lvl w:ilvl="0">
        <w:start w:val="1"/>
        <w:numFmt w:val="decimal"/>
        <w:lvlText w:val="%1."/>
        <w:legacy w:legacy="1" w:legacyIndent="360" w:legacySpace="0"/>
        <w:lvlJc w:val="left"/>
        <w:pPr>
          <w:ind w:hanging="360" w:left="360"/>
        </w:pPr>
      </w:lvl>
    </w:lvlOverride>
  </w:num>
  <w:num w16cid:durableId="2006781081" w:numId="12">
    <w:abstractNumId w:val="6"/>
  </w:num>
  <w:num w16cid:durableId="115686751" w:numId="13">
    <w:abstractNumId w:val="1"/>
  </w:num>
  <w:num w16cid:durableId="863638390" w:numId="14">
    <w:abstractNumId w:val="10"/>
  </w:num>
  <w:num w16cid:durableId="1394229899" w:numId="15">
    <w:abstractNumId w:val="9"/>
  </w:num>
  <w:num w16cid:durableId="80837777" w:numId="16">
    <w:abstractNumId w:val="14"/>
  </w:num>
  <w:num w16cid:durableId="424107705" w:numId="17">
    <w:abstractNumId w:val="3"/>
  </w:num>
  <w:num w16cid:durableId="382606238" w:numId="18">
    <w:abstractNumId w:val="2"/>
  </w:num>
  <w:num w16cid:durableId="751514041" w:numId="19">
    <w:abstractNumId w:val="13"/>
  </w:num>
  <w:num w16cid:durableId="904267152" w:numId="20">
    <w:abstractNumId w:val="7"/>
  </w:num>
  <w:num w16cid:durableId="540829160" w:numId="21">
    <w:abstractNumId w:val="5"/>
  </w:num>
  <w:num w16cid:durableId="1280990277" w:numId="22">
    <w:abstractNumId w:val="11"/>
  </w:num>
  <w:num w16cid:durableId="72898720" w:numId="23">
    <w:abstractNumId w:val="12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attachedTemplate r:id="rId1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stylePaneSortMethod w:val="0000"/>
  <w:doNotTrackMoves/>
  <w:defaultTabStop w:val="202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40F"/>
    <w:rsid w:val="0015028E"/>
    <w:rsid w:val="001A13E6"/>
    <w:rsid w:val="006F640F"/>
    <w:rsid w:val="007C713D"/>
    <w:rsid w:val="007F61BC"/>
    <w:rsid w:val="008479F7"/>
    <w:rsid w:val="008F08DE"/>
    <w:rsid w:val="009D197E"/>
    <w:rsid w:val="00C2692F"/>
    <w:rsid w:val="00D01553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cs="Times New Roman" w:eastAsia="Times New Roman" w:hAnsi="Times New Roman"/>
        <w:lang w:bidi="ar-SA" w:eastAsia="en-GB" w:val="en-GB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 w:semiHidden="1" w:unhideWhenUsed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Medium Grid 2" w:qFormat="1"/>
    <w:lsdException w:name="List Paragraph" w:qFormat="1"/>
    <w:lsdException w:name="Quote" w:qFormat="1"/>
    <w:lsdException w:name="Intense Quote" w:qFormat="1"/>
    <w:lsdException w:name="Colorful List Accent 1" w:qFormat="1"/>
    <w:lsdException w:name="Colorful Grid Accent 1" w:qFormat="1"/>
    <w:lsdException w:name="Light Shading Accent 2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qFormat="1" w:semiHidden="1" w:unhideWhenUsed="1"/>
    <w:lsdException w:name="Plain Table 3" w:qFormat="1"/>
    <w:lsdException w:name="Plain Table 4" w:qFormat="1"/>
    <w:lsdException w:name="Plain Table 5" w:qFormat="1"/>
    <w:lsdException w:name="Grid Table Light" w:qFormat="1"/>
    <w:lsdException w:name="Grid Table 1 Light" w:qFormat="1"/>
    <w:lsdException w:name="Grid Table 3" w:qFormat="1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e" w:type="paragraph">
    <w:name w:val="Normal"/>
    <w:qFormat/>
    <w:pPr>
      <w:autoSpaceDE w:val="0"/>
      <w:autoSpaceDN w:val="0"/>
    </w:pPr>
    <w:rPr>
      <w:lang w:eastAsia="en-US" w:val="en-US"/>
    </w:rPr>
  </w:style>
  <w:style w:styleId="Titolo1" w:type="paragraph">
    <w:name w:val="heading 1"/>
    <w:basedOn w:val="Normale"/>
    <w:next w:val="Normale"/>
    <w:qFormat/>
    <w:pPr>
      <w:keepNext/>
      <w:numPr>
        <w:numId w:val="1"/>
      </w:numPr>
      <w:spacing w:after="80" w:before="240"/>
      <w:jc w:val="center"/>
      <w:outlineLvl w:val="0"/>
    </w:pPr>
    <w:rPr>
      <w:smallCaps/>
      <w:kern w:val="28"/>
    </w:rPr>
  </w:style>
  <w:style w:styleId="Titolo2" w:type="paragraph">
    <w:name w:val="heading 2"/>
    <w:basedOn w:val="Normale"/>
    <w:next w:val="Normale"/>
    <w:qFormat/>
    <w:pPr>
      <w:keepNext/>
      <w:numPr>
        <w:ilvl w:val="1"/>
        <w:numId w:val="1"/>
      </w:numPr>
      <w:spacing w:after="60" w:before="120"/>
      <w:ind w:left="144"/>
      <w:outlineLvl w:val="1"/>
    </w:pPr>
    <w:rPr>
      <w:i/>
      <w:iCs/>
    </w:rPr>
  </w:style>
  <w:style w:styleId="Titolo3" w:type="paragraph">
    <w:name w:val="heading 3"/>
    <w:basedOn w:val="Normale"/>
    <w:next w:val="Normale"/>
    <w:qFormat/>
    <w:pPr>
      <w:keepNext/>
      <w:numPr>
        <w:ilvl w:val="2"/>
        <w:numId w:val="1"/>
      </w:numPr>
      <w:ind w:left="288"/>
      <w:outlineLvl w:val="2"/>
    </w:pPr>
    <w:rPr>
      <w:i/>
      <w:iCs/>
    </w:rPr>
  </w:style>
  <w:style w:styleId="Titolo4" w:type="paragraph">
    <w:name w:val="heading 4"/>
    <w:basedOn w:val="Normale"/>
    <w:next w:val="Normale"/>
    <w:qFormat/>
    <w:pPr>
      <w:keepNext/>
      <w:numPr>
        <w:ilvl w:val="3"/>
        <w:numId w:val="1"/>
      </w:numPr>
      <w:spacing w:after="60" w:before="240"/>
      <w:outlineLvl w:val="3"/>
    </w:pPr>
    <w:rPr>
      <w:i/>
      <w:iCs/>
      <w:sz w:val="18"/>
      <w:szCs w:val="18"/>
    </w:rPr>
  </w:style>
  <w:style w:styleId="Titolo5" w:type="paragraph">
    <w:name w:val="heading 5"/>
    <w:basedOn w:val="Normale"/>
    <w:next w:val="Normale"/>
    <w:qFormat/>
    <w:pPr>
      <w:numPr>
        <w:ilvl w:val="4"/>
        <w:numId w:val="1"/>
      </w:numPr>
      <w:spacing w:after="60" w:before="240"/>
      <w:outlineLvl w:val="4"/>
    </w:pPr>
    <w:rPr>
      <w:sz w:val="18"/>
      <w:szCs w:val="18"/>
    </w:rPr>
  </w:style>
  <w:style w:styleId="Titolo6" w:type="paragraph">
    <w:name w:val="heading 6"/>
    <w:basedOn w:val="Normale"/>
    <w:next w:val="Normale"/>
    <w:qFormat/>
    <w:pPr>
      <w:numPr>
        <w:ilvl w:val="5"/>
        <w:numId w:val="1"/>
      </w:numPr>
      <w:spacing w:after="60" w:before="240"/>
      <w:outlineLvl w:val="5"/>
    </w:pPr>
    <w:rPr>
      <w:i/>
      <w:iCs/>
      <w:sz w:val="16"/>
      <w:szCs w:val="16"/>
    </w:rPr>
  </w:style>
  <w:style w:styleId="Titolo7" w:type="paragraph">
    <w:name w:val="heading 7"/>
    <w:basedOn w:val="Normale"/>
    <w:next w:val="Normale"/>
    <w:qFormat/>
    <w:pPr>
      <w:numPr>
        <w:ilvl w:val="6"/>
        <w:numId w:val="1"/>
      </w:numPr>
      <w:spacing w:after="60" w:before="240"/>
      <w:outlineLvl w:val="6"/>
    </w:pPr>
    <w:rPr>
      <w:sz w:val="16"/>
      <w:szCs w:val="16"/>
    </w:rPr>
  </w:style>
  <w:style w:styleId="Titolo8" w:type="paragraph">
    <w:name w:val="heading 8"/>
    <w:basedOn w:val="Normale"/>
    <w:next w:val="Normale"/>
    <w:qFormat/>
    <w:pPr>
      <w:numPr>
        <w:ilvl w:val="7"/>
        <w:numId w:val="1"/>
      </w:numPr>
      <w:spacing w:after="60" w:before="240"/>
      <w:outlineLvl w:val="7"/>
    </w:pPr>
    <w:rPr>
      <w:i/>
      <w:iCs/>
      <w:sz w:val="16"/>
      <w:szCs w:val="16"/>
    </w:rPr>
  </w:style>
  <w:style w:styleId="Titolo9" w:type="paragraph">
    <w:name w:val="heading 9"/>
    <w:basedOn w:val="Normale"/>
    <w:next w:val="Normale"/>
    <w:qFormat/>
    <w:pPr>
      <w:numPr>
        <w:ilvl w:val="8"/>
        <w:numId w:val="1"/>
      </w:numPr>
      <w:spacing w:after="60" w:before="240"/>
      <w:outlineLvl w:val="8"/>
    </w:pPr>
    <w:rPr>
      <w:sz w:val="16"/>
      <w:szCs w:val="16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customStyle="1" w:styleId="Abstract" w:type="paragraph">
    <w:name w:val="Abstract"/>
    <w:basedOn w:val="Normale"/>
    <w:next w:val="Normale"/>
    <w:pPr>
      <w:spacing w:before="20"/>
      <w:ind w:firstLine="202"/>
      <w:jc w:val="both"/>
    </w:pPr>
    <w:rPr>
      <w:b/>
      <w:bCs/>
      <w:sz w:val="18"/>
      <w:szCs w:val="18"/>
    </w:rPr>
  </w:style>
  <w:style w:customStyle="1" w:styleId="Authors" w:type="paragraph">
    <w:name w:val="Authors"/>
    <w:basedOn w:val="Normale"/>
    <w:next w:val="Normale"/>
    <w:pPr>
      <w:framePr w:hAnchor="page" w:hSpace="187" w:vAnchor="text" w:vSpace="187" w:w="9072" w:wrap="notBeside" w:xAlign="center" w:y="1"/>
      <w:spacing w:after="320"/>
      <w:jc w:val="center"/>
    </w:pPr>
    <w:rPr>
      <w:sz w:val="22"/>
      <w:szCs w:val="22"/>
    </w:rPr>
  </w:style>
  <w:style w:customStyle="1" w:styleId="MemberType" w:type="character">
    <w:name w:val="MemberType"/>
    <w:rPr>
      <w:rFonts w:ascii="Times New Roman" w:cs="Times New Roman" w:hAnsi="Times New Roman"/>
      <w:i/>
      <w:iCs/>
      <w:sz w:val="22"/>
      <w:szCs w:val="22"/>
    </w:rPr>
  </w:style>
  <w:style w:styleId="Titolo" w:type="paragraph">
    <w:name w:val="Title"/>
    <w:basedOn w:val="Normale"/>
    <w:next w:val="Normale"/>
    <w:qFormat/>
    <w:pPr>
      <w:framePr w:anchorLock="1" w:hAnchor="page" w:hSpace="187" w:vAnchor="text" w:vSpace="187" w:w="9360" w:wrap="notBeside" w:xAlign="center" w:y="1"/>
      <w:spacing w:before="360"/>
      <w:jc w:val="center"/>
    </w:pPr>
    <w:rPr>
      <w:b/>
      <w:kern w:val="28"/>
      <w:sz w:val="32"/>
      <w:szCs w:val="48"/>
    </w:rPr>
  </w:style>
  <w:style w:styleId="Testonotaapidipagina" w:type="paragraph">
    <w:name w:val="footnote text"/>
    <w:basedOn w:val="Normale"/>
    <w:semiHidden/>
    <w:pPr>
      <w:ind w:firstLine="202"/>
      <w:jc w:val="both"/>
    </w:pPr>
    <w:rPr>
      <w:sz w:val="16"/>
      <w:szCs w:val="16"/>
    </w:rPr>
  </w:style>
  <w:style w:customStyle="1" w:styleId="References" w:type="paragraph">
    <w:name w:val="References"/>
    <w:basedOn w:val="Normale"/>
    <w:pPr>
      <w:numPr>
        <w:numId w:val="12"/>
      </w:numPr>
      <w:jc w:val="both"/>
    </w:pPr>
    <w:rPr>
      <w:sz w:val="16"/>
      <w:szCs w:val="16"/>
    </w:rPr>
  </w:style>
  <w:style w:customStyle="1" w:styleId="IndexTerms" w:type="paragraph">
    <w:name w:val="IndexTerms"/>
    <w:basedOn w:val="Normale"/>
    <w:next w:val="Normale"/>
    <w:pPr>
      <w:ind w:firstLine="202"/>
      <w:jc w:val="both"/>
    </w:pPr>
    <w:rPr>
      <w:b/>
      <w:bCs/>
      <w:sz w:val="18"/>
      <w:szCs w:val="18"/>
    </w:rPr>
  </w:style>
  <w:style w:styleId="Rimandonotaapidipagina" w:type="character">
    <w:name w:val="footnote reference"/>
    <w:semiHidden/>
    <w:rPr>
      <w:vertAlign w:val="superscript"/>
    </w:rPr>
  </w:style>
  <w:style w:styleId="Pidipagina" w:type="paragraph">
    <w:name w:val="footer"/>
    <w:basedOn w:val="Normale"/>
    <w:pPr>
      <w:tabs>
        <w:tab w:pos="4320" w:val="center"/>
        <w:tab w:pos="8640" w:val="right"/>
      </w:tabs>
    </w:pPr>
  </w:style>
  <w:style w:customStyle="1" w:styleId="Text" w:type="paragraph">
    <w:name w:val="Text"/>
    <w:basedOn w:val="Normale"/>
    <w:pPr>
      <w:widowControl w:val="0"/>
      <w:spacing w:line="252" w:lineRule="auto"/>
      <w:ind w:firstLine="202"/>
      <w:jc w:val="both"/>
    </w:pPr>
  </w:style>
  <w:style w:customStyle="1" w:styleId="FigureCaption0" w:type="paragraph">
    <w:name w:val="Figure Caption"/>
    <w:basedOn w:val="Normale"/>
    <w:pPr>
      <w:jc w:val="both"/>
    </w:pPr>
    <w:rPr>
      <w:sz w:val="16"/>
      <w:szCs w:val="16"/>
    </w:rPr>
  </w:style>
  <w:style w:customStyle="1" w:styleId="TableTitle" w:type="paragraph">
    <w:name w:val="Table Title"/>
    <w:basedOn w:val="Normale"/>
    <w:pPr>
      <w:jc w:val="center"/>
    </w:pPr>
    <w:rPr>
      <w:smallCaps/>
      <w:sz w:val="16"/>
      <w:szCs w:val="16"/>
    </w:rPr>
  </w:style>
  <w:style w:customStyle="1" w:styleId="ReferenceHead" w:type="paragraph">
    <w:name w:val="Reference Head"/>
    <w:basedOn w:val="Titolo1"/>
    <w:pPr>
      <w:numPr>
        <w:numId w:val="0"/>
      </w:numPr>
    </w:pPr>
  </w:style>
  <w:style w:styleId="Intestazione" w:type="paragraph">
    <w:name w:val="header"/>
    <w:basedOn w:val="Normale"/>
    <w:pPr>
      <w:tabs>
        <w:tab w:pos="4320" w:val="center"/>
        <w:tab w:pos="8640" w:val="right"/>
      </w:tabs>
    </w:pPr>
  </w:style>
  <w:style w:customStyle="1" w:styleId="Equation" w:type="paragraph">
    <w:name w:val="Equation"/>
    <w:basedOn w:val="Normale"/>
    <w:next w:val="Normale"/>
    <w:pPr>
      <w:widowControl w:val="0"/>
      <w:tabs>
        <w:tab w:pos="4810" w:val="right"/>
      </w:tabs>
      <w:spacing w:line="252" w:lineRule="auto"/>
      <w:jc w:val="both"/>
    </w:pPr>
  </w:style>
  <w:style w:styleId="Collegamentoipertestuale" w:type="character">
    <w:name w:val="Hyperlink"/>
    <w:rPr>
      <w:color w:val="0000FF"/>
      <w:u w:val="single"/>
    </w:rPr>
  </w:style>
  <w:style w:styleId="Collegamentovisitato" w:type="character">
    <w:name w:val="FollowedHyperlink"/>
    <w:rPr>
      <w:color w:val="800080"/>
      <w:u w:val="single"/>
    </w:rPr>
  </w:style>
  <w:style w:styleId="Rientrocorpodeltesto" w:type="paragraph">
    <w:name w:val="Body Text Indent"/>
    <w:basedOn w:val="Normale"/>
    <w:pPr>
      <w:ind w:hanging="630" w:left="630"/>
    </w:pPr>
    <w:rPr>
      <w:szCs w:val="24"/>
    </w:rPr>
  </w:style>
  <w:style w:customStyle="1" w:styleId="DefaultParagraphFont1" w:type="paragraph">
    <w:name w:val="Default Paragraph Font1"/>
    <w:next w:val="Normale"/>
    <w:pPr>
      <w:overflowPunct w:val="0"/>
      <w:autoSpaceDE w:val="0"/>
      <w:autoSpaceDN w:val="0"/>
      <w:adjustRightInd w:val="0"/>
      <w:textAlignment w:val="baseline"/>
    </w:pPr>
    <w:rPr>
      <w:rFonts w:ascii="Times" w:eastAsia="PMingLiU" w:hAnsi="Times"/>
      <w:lang w:eastAsia="zh-TW" w:val="en-US"/>
    </w:rPr>
  </w:style>
  <w:style w:customStyle="1" w:styleId="abs-title" w:type="paragraph">
    <w:name w:val="abs-title"/>
    <w:basedOn w:val="DefaultParagraphFont1"/>
    <w:pPr>
      <w:ind w:firstLine="14"/>
      <w:jc w:val="both"/>
    </w:pPr>
    <w:rPr>
      <w:b/>
      <w:bCs/>
      <w:i/>
      <w:iCs/>
      <w:sz w:val="18"/>
    </w:rPr>
  </w:style>
  <w:style w:customStyle="1" w:styleId="body-text" w:type="paragraph">
    <w:name w:val="body-text"/>
    <w:pPr>
      <w:ind w:firstLine="230"/>
      <w:jc w:val="both"/>
    </w:pPr>
    <w:rPr>
      <w:rFonts w:ascii="Times" w:hAnsi="Times"/>
      <w:color w:val="000000"/>
      <w:lang w:eastAsia="en-US" w:val="en-US"/>
    </w:rPr>
  </w:style>
  <w:style w:customStyle="1" w:styleId="table-figure-caption" w:type="paragraph">
    <w:name w:val="table-figure-caption"/>
    <w:basedOn w:val="body-text"/>
    <w:pPr>
      <w:spacing w:after="120" w:before="60"/>
      <w:ind w:firstLine="0"/>
      <w:jc w:val="center"/>
    </w:pPr>
    <w:rPr>
      <w:sz w:val="18"/>
    </w:rPr>
  </w:style>
  <w:style w:customStyle="1" w:styleId="footnote" w:type="paragraph">
    <w:name w:val="footnote"/>
    <w:basedOn w:val="Testonotaapidipagina"/>
    <w:pPr>
      <w:overflowPunct w:val="0"/>
      <w:adjustRightInd w:val="0"/>
      <w:ind w:firstLine="346"/>
      <w:jc w:val="left"/>
      <w:textAlignment w:val="baseline"/>
    </w:pPr>
    <w:rPr>
      <w:rFonts w:ascii="Times" w:eastAsia="PMingLiU" w:hAnsi="Times"/>
      <w:szCs w:val="20"/>
      <w:lang w:eastAsia="zh-TW" w:val="en-AU"/>
    </w:rPr>
  </w:style>
  <w:style w:customStyle="1" w:styleId="subsection-title" w:type="paragraph">
    <w:name w:val="subsection-title"/>
    <w:basedOn w:val="Titolo2"/>
    <w:pPr>
      <w:numPr>
        <w:ilvl w:val="0"/>
        <w:numId w:val="0"/>
      </w:numPr>
      <w:overflowPunct w:val="0"/>
      <w:adjustRightInd w:val="0"/>
      <w:spacing w:before="60"/>
      <w:ind w:firstLine="43"/>
      <w:textAlignment w:val="baseline"/>
    </w:pPr>
    <w:rPr>
      <w:rFonts w:ascii="Times" w:eastAsia="PMingLiU" w:hAnsi="Times"/>
      <w:b/>
      <w:bCs/>
      <w:szCs w:val="24"/>
      <w:lang w:eastAsia="zh-TW"/>
    </w:rPr>
  </w:style>
  <w:style w:styleId="Corpotesto" w:type="paragraph">
    <w:name w:val="Body Text"/>
    <w:basedOn w:val="Normale"/>
    <w:link w:val="CorpotestoCarattere"/>
    <w:rsid w:val="00B32A40"/>
    <w:pPr>
      <w:autoSpaceDE/>
      <w:autoSpaceDN/>
      <w:spacing w:after="120" w:line="228" w:lineRule="auto"/>
      <w:ind w:firstLine="288"/>
      <w:jc w:val="both"/>
    </w:pPr>
    <w:rPr>
      <w:rFonts w:eastAsia="SimSun"/>
      <w:spacing w:val="-1"/>
    </w:rPr>
  </w:style>
  <w:style w:customStyle="1" w:styleId="CorpotestoCarattere" w:type="character">
    <w:name w:val="Corpo testo Carattere"/>
    <w:link w:val="Corpotesto"/>
    <w:rsid w:val="00B32A40"/>
    <w:rPr>
      <w:rFonts w:eastAsia="SimSun"/>
      <w:spacing w:val="-1"/>
    </w:rPr>
  </w:style>
  <w:style w:customStyle="1" w:styleId="bulletlist" w:type="paragraph">
    <w:name w:val="bullet list"/>
    <w:basedOn w:val="Corpotesto"/>
    <w:rsid w:val="00B32A40"/>
    <w:pPr>
      <w:numPr>
        <w:numId w:val="21"/>
      </w:numPr>
    </w:pPr>
  </w:style>
  <w:style w:customStyle="1" w:styleId="sponsors" w:type="paragraph">
    <w:name w:val="sponsors"/>
    <w:rsid w:val="00B32A40"/>
    <w:pPr>
      <w:framePr w:hAnchor="text" w:wrap="auto" w:x="615" w:y="2239"/>
      <w:pBdr>
        <w:top w:color="auto" w:space="2" w:sz="4" w:val="single"/>
      </w:pBdr>
      <w:ind w:firstLine="288"/>
    </w:pPr>
    <w:rPr>
      <w:rFonts w:eastAsia="SimSun"/>
      <w:sz w:val="16"/>
      <w:szCs w:val="16"/>
      <w:lang w:eastAsia="en-US" w:val="en-US"/>
    </w:rPr>
  </w:style>
  <w:style w:customStyle="1" w:styleId="papersubtitle" w:type="paragraph">
    <w:name w:val="paper subtitle"/>
    <w:rsid w:val="007A28F1"/>
    <w:pPr>
      <w:spacing w:after="120"/>
      <w:jc w:val="center"/>
    </w:pPr>
    <w:rPr>
      <w:rFonts w:eastAsia="MS Mincho"/>
      <w:noProof/>
      <w:sz w:val="28"/>
      <w:szCs w:val="28"/>
      <w:lang w:eastAsia="en-US" w:val="en-US"/>
    </w:rPr>
  </w:style>
  <w:style w:customStyle="1" w:styleId="equation0" w:type="paragraph">
    <w:name w:val="equation"/>
    <w:basedOn w:val="Normale"/>
    <w:rsid w:val="007A28F1"/>
    <w:pPr>
      <w:tabs>
        <w:tab w:pos="2520" w:val="center"/>
        <w:tab w:pos="5040" w:val="right"/>
      </w:tabs>
      <w:autoSpaceDE/>
      <w:autoSpaceDN/>
      <w:spacing w:after="240" w:before="240" w:line="216" w:lineRule="auto"/>
      <w:jc w:val="center"/>
    </w:pPr>
    <w:rPr>
      <w:rFonts w:ascii="Symbol" w:cs="Symbol" w:eastAsia="SimSun" w:hAnsi="Symbol"/>
    </w:rPr>
  </w:style>
  <w:style w:customStyle="1" w:styleId="figurecaption" w:type="paragraph">
    <w:name w:val="figure caption"/>
    <w:rsid w:val="007A28F1"/>
    <w:pPr>
      <w:numPr>
        <w:numId w:val="22"/>
      </w:numPr>
      <w:spacing w:after="200" w:before="80"/>
      <w:jc w:val="center"/>
    </w:pPr>
    <w:rPr>
      <w:rFonts w:eastAsia="SimSun"/>
      <w:noProof/>
      <w:sz w:val="16"/>
      <w:szCs w:val="16"/>
      <w:lang w:eastAsia="en-US" w:val="en-US"/>
    </w:rPr>
  </w:style>
  <w:style w:customStyle="1" w:styleId="tablecolhead" w:type="paragraph">
    <w:name w:val="table col head"/>
    <w:basedOn w:val="Normale"/>
    <w:rsid w:val="007A28F1"/>
    <w:pPr>
      <w:autoSpaceDE/>
      <w:autoSpaceDN/>
      <w:jc w:val="center"/>
    </w:pPr>
    <w:rPr>
      <w:rFonts w:eastAsia="SimSun"/>
      <w:b/>
      <w:bCs/>
      <w:sz w:val="16"/>
      <w:szCs w:val="16"/>
    </w:rPr>
  </w:style>
  <w:style w:customStyle="1" w:styleId="tablecolsubhead" w:type="paragraph">
    <w:name w:val="table col subhead"/>
    <w:basedOn w:val="tablecolhead"/>
    <w:rsid w:val="007A28F1"/>
    <w:rPr>
      <w:i/>
      <w:iCs/>
      <w:sz w:val="15"/>
      <w:szCs w:val="15"/>
    </w:rPr>
  </w:style>
  <w:style w:customStyle="1" w:styleId="tablecopy" w:type="paragraph">
    <w:name w:val="table copy"/>
    <w:rsid w:val="007A28F1"/>
    <w:pPr>
      <w:jc w:val="both"/>
    </w:pPr>
    <w:rPr>
      <w:rFonts w:eastAsia="SimSun"/>
      <w:noProof/>
      <w:sz w:val="16"/>
      <w:szCs w:val="16"/>
      <w:lang w:eastAsia="en-US" w:val="en-US"/>
    </w:rPr>
  </w:style>
  <w:style w:customStyle="1" w:styleId="tablefootnote" w:type="paragraph">
    <w:name w:val="table footnote"/>
    <w:rsid w:val="007A28F1"/>
    <w:pPr>
      <w:spacing w:after="30" w:before="60"/>
      <w:jc w:val="right"/>
    </w:pPr>
    <w:rPr>
      <w:rFonts w:eastAsia="SimSun"/>
      <w:sz w:val="12"/>
      <w:szCs w:val="12"/>
      <w:lang w:eastAsia="en-US" w:val="en-US"/>
    </w:rPr>
  </w:style>
  <w:style w:customStyle="1" w:styleId="tablehead" w:type="paragraph">
    <w:name w:val="table head"/>
    <w:rsid w:val="007A28F1"/>
    <w:pPr>
      <w:numPr>
        <w:numId w:val="23"/>
      </w:numPr>
      <w:spacing w:after="120" w:before="240" w:line="216" w:lineRule="auto"/>
      <w:jc w:val="center"/>
    </w:pPr>
    <w:rPr>
      <w:rFonts w:eastAsia="SimSun"/>
      <w:smallCaps/>
      <w:noProof/>
      <w:sz w:val="16"/>
      <w:szCs w:val="16"/>
      <w:lang w:eastAsia="en-US" w:val="en-US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pixelsPerInch w:val="72"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olo\Desktop\ieeeconf_letter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ieeeconf_letter</Template>
  <TotalTime>0</TotalTime>
  <Pages>4</Pages>
  <Words>2227</Words>
  <Characters>12694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</vt:lpstr>
    </vt:vector>
  </TitlesOfParts>
  <Company>IEEE</Company>
  <LinksUpToDate>false</LinksUpToDate>
  <CharactersWithSpaces>14892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2025-10-08T16:36:00Z</dcterms:created>
  <dcterms:modified xsi:type="dcterms:W3CDTF">2025-10-08T16:36:00Z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