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40" w:line="300" w:lineRule="auto"/>
        <w:jc w:val="center"/>
        <w:bidi w:val="1"/>
        <w:keepNext/>
      </w:pPr>
      <w:r>
        <w:rPr>
          <w:rFonts w:ascii="DejaVu Sans" w:hAnsi="DejaVu Sans" w:cs="DejaVu Sans" w:eastAsia="DejaVu Sans"/>
          <w:i w:val="0"/>
          <w:color w:val="13847C"/>
          <w:sz w:val="24"/>
        </w:rPr>
        <w:t>CLADORA</w:t>
      </w:r>
    </w:p>
    <w:p>
      <w:pPr>
        <w:pStyle w:val="Title"/>
        <w:jc w:val="center"/>
      </w:pPr>
      <w:r>
        <w:rPr>
          <w:rFonts w:ascii="DejaVu Sans" w:hAnsi="DejaVu Sans" w:cs="DejaVu Sans" w:eastAsia="DejaVu Sans"/>
          <w:b/>
          <w:color w:val="17365D"/>
          <w:sz w:val="64"/>
        </w:rPr>
        <w:t>CLADORA</w:t>
      </w:r>
    </w:p>
    <w:p>
      <w:pPr>
        <w:pStyle w:val="Subtitle"/>
        <w:jc w:val="center"/>
        <w:bidi w:val="1"/>
      </w:pPr>
      <w:r>
        <w:rPr>
          <w:rFonts w:ascii="DejaVu Sans" w:hAnsi="DejaVu Sans" w:cs="DejaVu Sans" w:eastAsia="DejaVu Sans"/>
          <w:b/>
          <w:color w:val="13847C"/>
          <w:sz w:val="36"/>
        </w:rPr>
        <w:t>طرح جامع مدیریت پروژه محصول</w:t>
      </w:r>
    </w:p>
    <w:p>
      <w:pPr>
        <w:spacing w:before="0" w:after="360" w:line="300" w:lineRule="auto"/>
        <w:jc w:val="center"/>
        <w:bidi w:val="1"/>
      </w:pPr>
      <w:r>
        <w:rPr>
          <w:rFonts w:ascii="DejaVu Sans" w:hAnsi="DejaVu Sans" w:cs="DejaVu Sans" w:eastAsia="DejaVu Sans"/>
          <w:i w:val="0"/>
          <w:color w:val="667085"/>
          <w:sz w:val="22"/>
        </w:rPr>
        <w:t>پلتفرم یکپارچه مدیریت ساختمان، انجمن مالکان، سبد املاک و عملیات شرکت‌های مدیریت</w:t>
      </w:r>
    </w:p>
    <w:p>
      <w:pPr>
        <w:spacing w:before="0" w:after="920" w:line="300" w:lineRule="auto"/>
        <w:jc w:val="center"/>
        <w:bidi w:val="1"/>
      </w:pPr>
      <w:r>
        <w:rPr>
          <w:rFonts w:ascii="DejaVu Sans" w:hAnsi="DejaVu Sans" w:cs="DejaVu Sans" w:eastAsia="DejaVu Sans"/>
          <w:i w:val="0"/>
          <w:color w:val="667085"/>
          <w:sz w:val="19"/>
        </w:rPr>
        <w:t>Romania-first • International-ready • Financial truth at the core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448"/>
        <w:gridCol w:w="6912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مشخصه</w:t>
            </w:r>
          </w:p>
        </w:tc>
        <w:tc>
          <w:tcPr>
            <w:tcW w:type="dxa" w:w="691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مقدار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نسخه سند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۱.۰ — اولین نسخه کامل برای برنامه‌ریزی، ساخت و پایلوت</w:t>
            </w:r>
          </w:p>
        </w:tc>
      </w:tr>
      <w:tr>
        <w:trPr>
          <w:cantSplit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تاریخ مبنا</w:t>
            </w:r>
          </w:p>
        </w:tc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۲۰ اوت ۲۰۲۶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بازار آغاز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رومانی؛ پایلوت بخارست و ایلفو</w:t>
            </w:r>
          </w:p>
        </w:tc>
      </w:tr>
      <w:tr>
        <w:trPr>
          <w:cantSplit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مالک تصمیم</w:t>
            </w:r>
          </w:p>
        </w:tc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Founder / Product Steering Committee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وضعیت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Draft for validation — تبدیل‌پذیر به Epic، Story، Sprint و قرارداد اجرایی</w:t>
            </w:r>
          </w:p>
        </w:tc>
      </w:tr>
      <w:tr>
        <w:trPr>
          <w:cantSplit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شعار پیشنهادی</w:t>
            </w:r>
          </w:p>
        </w:tc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9"/>
              </w:rPr>
              <w:t>Administrare clară. Costuri sub control. Valoare în creștere.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7A5A00"/>
          <w:left w:val="single" w:sz="9" w:space="0" w:color="7A5A00"/>
          <w:bottom w:val="single" w:sz="9" w:space="0" w:color="7A5A00"/>
          <w:right w:val="single" w:sz="9" w:space="0" w:color="7A5A00"/>
          <w:insideH w:val="single" w:sz="9" w:space="0" w:color="7A5A00"/>
          <w:insideV w:val="single" w:sz="9" w:space="0" w:color="7A5A00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7A5A00"/>
                <w:sz w:val="20"/>
              </w:rPr>
              <w:t xml:space="preserve">مرز سند: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این فایل برنامه مدیریت پروژه و تعریف محصول است؛ برآوردهای زمانی و ظرفیت، فرض برنامه‌ریزی‌اند و پس از تعیین تیم، بودجه، نتیجه بررسی حقوقی رومانی و قرارداد پایلوت باید Baseline شوند.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کنترل سند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فیلد</w:t>
            </w:r>
          </w:p>
        </w:tc>
        <w:tc>
          <w:tcPr>
            <w:tcW w:type="dxa" w:w="6696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مقدار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کد سند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CLD-PMP-001</w:t>
            </w:r>
          </w:p>
        </w:tc>
      </w:tr>
      <w:tr>
        <w:trPr>
          <w:cantSplit/>
        </w:trPr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طبقه‌بندی</w:t>
            </w:r>
          </w:p>
        </w:tc>
        <w:tc>
          <w:tcPr>
            <w:tcW w:type="dxa" w:w="66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داخلی — قابل اشتراک با مشاوران تحت NDA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چرخه بازبینی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ماهانه تا پایان پایلوت؛ سپس فصلی</w:t>
            </w:r>
          </w:p>
        </w:tc>
      </w:tr>
      <w:tr>
        <w:trPr>
          <w:cantSplit/>
        </w:trPr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مرجع تغییر</w:t>
            </w:r>
          </w:p>
        </w:tc>
        <w:tc>
          <w:tcPr>
            <w:tcW w:type="dxa" w:w="66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Change Request + Decision Log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تأییدهای لازم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Founder، Product Owner، Tech Lead، Finance SME، Legal/DPO Lead</w:t>
            </w:r>
          </w:p>
        </w:tc>
      </w:tr>
      <w:tr>
        <w:trPr>
          <w:cantSplit/>
        </w:trPr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سندهای فرزند</w:t>
            </w:r>
          </w:p>
        </w:tc>
        <w:tc>
          <w:tcPr>
            <w:tcW w:type="dxa" w:w="66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PRD، Architecture Decision Records، Data Dictionary، Test Plan، Pilot Playbook، Runbooks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فهرست مطالب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720"/>
        <w:gridCol w:w="3960"/>
        <w:gridCol w:w="720"/>
        <w:gridCol w:w="3960"/>
      </w:tblGrid>
      <w:tr>
        <w:trPr>
          <w:tblHeader w:val="true"/>
          <w:cantSplit/>
        </w:trPr>
        <w:tc>
          <w:tcPr>
            <w:tcW w:type="dxa" w:w="7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بخش</w:t>
            </w:r>
          </w:p>
        </w:tc>
        <w:tc>
          <w:tcPr>
            <w:tcW w:type="dxa" w:w="39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عنوان</w:t>
            </w:r>
          </w:p>
        </w:tc>
        <w:tc>
          <w:tcPr>
            <w:tcW w:type="dxa" w:w="7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بخش</w:t>
            </w:r>
          </w:p>
        </w:tc>
        <w:tc>
          <w:tcPr>
            <w:tcW w:type="dxa" w:w="39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عنوان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خلاصه مدیریتی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تیم، نقش‌ها و RACI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۲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منشور پروژه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۱۵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برنامه ۹۰ روز اول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۳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معماری محصول و هسته‌ها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کیفیت، آزمون و معیار پذیرش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۴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پرسونا، حقوق و ارتباطات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۱۷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امنیت، حریم خصوصی و قابلیت اتکا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۵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گونه‌شناسی و Rule Pack مهندسی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پایلوت و ورود به بازار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۶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قرائت کنتور و تحلیل مصرف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۱۹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مدل تجاری و بسته‌بندی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معماری مالی و حسابداری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۲۰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ریسک، تغییر و گزارش‌دهی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۸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داده، رویداد و Source of Truth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۲۱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عملیات پس از عرضه و Go/No-Go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مهاجرت و قابلیت همکاری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کاتالوگ الزامات عملکردی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۱۰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هوش هزینه، صرفه‌جویی و ارزش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B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الزامات غیرعملکردی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۱۱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مدل تحویل پروژه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مصنوعات اجباری پروژه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۱۲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WBS و بسته‌های کاری</w:t>
            </w:r>
          </w:p>
        </w:tc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D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الگوی Story و Change Request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۱۳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نقشه راه و Stage Gates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پرسش‌های باز قبل از Baseline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۱. خلاصه مدیریتی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یک تصویر واحد از مسئله، پیشنهاد ارزش، محدوده نسخه‌ها، برنامه زمانی و تصمیم‌های حیاتی ایجاد شود.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CLADORA یک دفتر حسابداری ساده یا اپلیکیشن اعلان شارژ نیست. محصول باید «واقعیت مالی»، «حقوق مالک و مستأجر»، «وضعیت فنی ساختمان»، «مصرف و کنتورها»، «عملیات نگهداری»، «تصمیم‌گیری انجمن»، «سبد املاک مالک» و «مهاجرت از سامانه‌های قبلی» را روی یک مدل داده و دفتر حسابرسی مشترک به هم متصل کند.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13847C"/>
          <w:left w:val="single" w:sz="9" w:space="0" w:color="13847C"/>
          <w:bottom w:val="single" w:sz="9" w:space="0" w:color="13847C"/>
          <w:right w:val="single" w:sz="9" w:space="0" w:color="13847C"/>
          <w:insideH w:val="single" w:sz="9" w:space="0" w:color="13847C"/>
          <w:insideV w:val="single" w:sz="9" w:space="0" w:color="13847C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7F5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13847C"/>
                <w:sz w:val="20"/>
              </w:rPr>
              <w:t xml:space="preserve">تعریف یک‌خطی: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CLADORA سیستم عامل دارایی مسکونی است که برای هر ساختمان و هر مالک، جریان پول، مسئولیت، سکونت، نگهداری، مصرف، تصمیم و ارزش را قابل‌فهم و قابل‌اثبات می‌کند.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۱.۱ نتیجه‌ای که نسخه تجاری باید ایجاد کند</w:t>
      </w:r>
    </w:p>
    <w:p>
      <w:pPr>
        <w:spacing w:after="80" w:line="300" w:lineRule="auto"/>
        <w:jc w:val="right"/>
        <w:bidi w:val="1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12B"/>
          <w:sz w:val="21"/>
        </w:rPr>
        <w:t>مدیر یا شرکت مدیریت بتواند یک ماه مالی را با اسناد، تخصیص‌ها، دریافت‌ها، بدهی‌ها و گزارش قابل حسابرسی ببندد.</w:t>
      </w:r>
    </w:p>
    <w:p>
      <w:pPr>
        <w:spacing w:after="80" w:line="300" w:lineRule="auto"/>
        <w:jc w:val="right"/>
        <w:bidi w:val="1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12B"/>
          <w:sz w:val="21"/>
        </w:rPr>
        <w:t>مالک دقیقاً بداند کدام مبلغ هزینه جاری، کدام هزینه مالکیتی، کدام پروژه سرمایه‌ای و کدام تعهد مستأجر است.</w:t>
      </w:r>
    </w:p>
    <w:p>
      <w:pPr>
        <w:spacing w:after="80" w:line="300" w:lineRule="auto"/>
        <w:jc w:val="right"/>
        <w:bidi w:val="1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12B"/>
          <w:sz w:val="21"/>
        </w:rPr>
        <w:t>مستأجر فقط اطلاعات و عملیات مربوط به حق و مسئولیت خود را ببیند و مالکیت یا رأی مالک را تصاحب نکند.</w:t>
      </w:r>
    </w:p>
    <w:p>
      <w:pPr>
        <w:spacing w:after="80" w:line="300" w:lineRule="auto"/>
        <w:jc w:val="right"/>
        <w:bidi w:val="1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12B"/>
          <w:sz w:val="21"/>
        </w:rPr>
        <w:t>ساختمان‌های قدیمی کمونیستی، ساختمان‌های جدید با امکانات، شهرک ویلایی، واحد مستقل و ملک تجاری/مختلط از Rule Pack مناسب خود استفاده کنند.</w:t>
      </w:r>
    </w:p>
    <w:p>
      <w:pPr>
        <w:spacing w:after="80" w:line="300" w:lineRule="auto"/>
        <w:jc w:val="right"/>
        <w:bidi w:val="1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12B"/>
          <w:sz w:val="21"/>
        </w:rPr>
        <w:t>هر هزینه غیرعادی از سند به علت احتمالی، اقدام پیشنهادی، مسئول، اثر مالی و نتیجه تأییدشده متصل شود.</w:t>
      </w:r>
    </w:p>
    <w:p>
      <w:pPr>
        <w:spacing w:after="80" w:line="300" w:lineRule="auto"/>
        <w:jc w:val="right"/>
        <w:bidi w:val="1"/>
        <w:numPr>
          <w:ilvl w:val="0"/>
          <w:numId w:val="10"/>
        </w:numPr>
      </w:pPr>
      <w:r>
        <w:rPr>
          <w:rFonts w:ascii="DejaVu Sans" w:hAnsi="DejaVu Sans" w:cs="DejaVu Sans" w:eastAsia="DejaVu Sans"/>
          <w:color w:val="17212B"/>
          <w:sz w:val="21"/>
        </w:rPr>
        <w:t>مهاجرت بدون از بین‌رفتن تاریخچه و با تطبیق دو سامانه در دوره Shadow Ledger انجام شود.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۱.۲ افق تحویل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232"/>
        <w:gridCol w:w="2088"/>
        <w:gridCol w:w="5040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خروجی</w:t>
            </w:r>
          </w:p>
        </w:tc>
        <w:tc>
          <w:tcPr>
            <w:tcW w:type="dxa" w:w="208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افق استاندارد</w:t>
            </w:r>
          </w:p>
        </w:tc>
        <w:tc>
          <w:tcPr>
            <w:tcW w:type="dxa" w:w="5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تعریف پایان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Prototype معتبر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هفته ۶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تست پنج جریان اصلی با کاربران رومانیایی و تصویب معماری دامنه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Alpha مالی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هفته ۱۶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دفتر کل، اسناد، تخصیص پایه، نقش‌ها و مهاجرت نمونه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Pilot MVP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هفته ۳۲ تا ۳۶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حداقل ۵ ساختمان و ۲۰ مالک سبدی؛ یک چرخه مالی واقعی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Commercial V1 Romania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هفته ۵۲ تا ۵۶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گیت امنیت، حسابداری، مهاجرت، پشتیبانی و معیارهای خروج پایلوت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Scale &amp; Country Packs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پس از V1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مقیاس شرکت مدیریت و اولین بسته کشور دوم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b/>
          <w:color w:val="17212B"/>
          <w:sz w:val="22"/>
        </w:rPr>
        <w:t>سناریوی استاندارد</w:t>
      </w:r>
      <w:r>
        <w:rPr>
          <w:rFonts w:ascii="DejaVu Sans" w:hAnsi="DejaVu Sans" w:cs="DejaVu Sans" w:eastAsia="DejaVu Sans"/>
          <w:i w:val="0"/>
          <w:color w:val="17212B"/>
          <w:sz w:val="22"/>
        </w:rPr>
        <w:t xml:space="preserve"> بر مبنای تیم میانگین ۱۶ تا ۲۰ نفر تمام‌وقت است. تیم ۱۰ تا ۱۲ نفره می‌تواند MVP را بسازد، اما برنامه V1 واقع‌بینانه‌تر به ۱۶ تا ۲۰ ماه افزایش می‌یابد.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۲. منشور پروژه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هدف، معیار موفقیت، عدم‌هدف‌ها و مرز اختیار پروژه رسمی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۲.۱ مسئله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اطلاعات ساختمان در رومانی میان نرم‌افزار حسابداری، فایل Excel، تابلو اعلانات، پیام‌رسان، اسناد کاغذی، پیمانکار، کنتور و حافظه مدیر پخش است. مالک چندملکی نیز برای هر ملک با مدیر، مستأجر، قرارداد، پرداخت و سند جدا روبه‌روست. نتیجه، خطای مالی، اختلاف حقوق، تصمیم دیرهنگام، هزینه نگهداری واکنشی و مهاجرت دشوار است.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۲.۲ اهداف SMART پیشنهادی برای Baseline</w:t>
      </w:r>
    </w:p>
    <w:p>
      <w:pPr>
        <w:spacing w:after="80" w:line="300" w:lineRule="auto"/>
        <w:jc w:val="right"/>
        <w:bidi w:val="1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12B"/>
          <w:sz w:val="21"/>
        </w:rPr>
        <w:t>تا پایان Pilot MVP، حداقل ۹۸٪ ردیف‌های تخصیص شارژ در نمونه‌های تأییدشده بدون اصلاح دستی محاسبه شوند.</w:t>
      </w:r>
    </w:p>
    <w:p>
      <w:pPr>
        <w:spacing w:after="80" w:line="300" w:lineRule="auto"/>
        <w:jc w:val="right"/>
        <w:bidi w:val="1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12B"/>
          <w:sz w:val="21"/>
        </w:rPr>
        <w:t>تطبیق موجودی افتتاحیه و خروجی Shadow Ledger برای هر پایلوت به اختلاف صفر در بدهکار/بستانکار و اختلاف توضیح‌داده‌شده در مانده واحد برسد.</w:t>
      </w:r>
    </w:p>
    <w:p>
      <w:pPr>
        <w:spacing w:after="80" w:line="300" w:lineRule="auto"/>
        <w:jc w:val="right"/>
        <w:bidi w:val="1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12B"/>
          <w:sz w:val="21"/>
        </w:rPr>
        <w:t>حداقل ۸۰٪ مالکان دعوت‌شده در ۳۰ روز اول وارد سامانه شوند و حداقل یک گزارش یا اعلان را مشاهده کنند.</w:t>
      </w:r>
    </w:p>
    <w:p>
      <w:pPr>
        <w:spacing w:after="80" w:line="300" w:lineRule="auto"/>
        <w:jc w:val="right"/>
        <w:bidi w:val="1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12B"/>
          <w:sz w:val="21"/>
        </w:rPr>
        <w:t>زمان آماده‌سازی گزارش ماهانه مدیر، نسبت به خط مبنای همان ساختمان، حداقل ۳۰٪ کاهش یابد.</w:t>
      </w:r>
    </w:p>
    <w:p>
      <w:pPr>
        <w:spacing w:after="80" w:line="300" w:lineRule="auto"/>
        <w:jc w:val="right"/>
        <w:bidi w:val="1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12B"/>
          <w:sz w:val="21"/>
        </w:rPr>
        <w:t>حداقل سه فرصت صرفه‌جویی در هر ساختمان تولید شود و حداقل یک فرصت طبق پروتکل اندازه‌گیری وارد Verified Savings Ledger شود.</w:t>
      </w:r>
    </w:p>
    <w:p>
      <w:pPr>
        <w:spacing w:after="80" w:line="300" w:lineRule="auto"/>
        <w:jc w:val="right"/>
        <w:bidi w:val="1"/>
        <w:numPr>
          <w:ilvl w:val="0"/>
          <w:numId w:val="11"/>
        </w:numPr>
      </w:pPr>
      <w:r>
        <w:rPr>
          <w:rFonts w:ascii="DejaVu Sans" w:hAnsi="DejaVu Sans" w:cs="DejaVu Sans" w:eastAsia="DejaVu Sans"/>
          <w:color w:val="17212B"/>
          <w:sz w:val="21"/>
        </w:rPr>
        <w:t>هیچ رخداد P0 امنیتی یا افشای میان‌مستأجر/مالک در پایلوت پذیرفته نیست.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۲.۳ عدم‌هدف‌های نسخه اول</w:t>
      </w:r>
    </w:p>
    <w:p>
      <w:pPr>
        <w:spacing w:after="80" w:line="300" w:lineRule="auto"/>
        <w:jc w:val="right"/>
        <w:bidi w:val="1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12B"/>
          <w:sz w:val="21"/>
        </w:rPr>
        <w:t>جایگزینی ممیز انرژی، مهندس سازه، وکیل، حسابدار رسمی یا مرجع دولتی؛ CLADORA داده و فرایند را مدیریت می‌کند، نه صلاحیت حرفه‌ای را.</w:t>
      </w:r>
    </w:p>
    <w:p>
      <w:pPr>
        <w:spacing w:after="80" w:line="300" w:lineRule="auto"/>
        <w:jc w:val="right"/>
        <w:bidi w:val="1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12B"/>
          <w:sz w:val="21"/>
        </w:rPr>
        <w:t>تضمین درصد افزایش ارزش ملک یا صرفه‌جویی قبل از اندازه‌گیری واقعی.</w:t>
      </w:r>
    </w:p>
    <w:p>
      <w:pPr>
        <w:spacing w:after="80" w:line="300" w:lineRule="auto"/>
        <w:jc w:val="right"/>
        <w:bidi w:val="1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12B"/>
          <w:sz w:val="21"/>
        </w:rPr>
        <w:t>ساخت سخت‌افزار اختصاصی کنتور در V1؛ ابتدا اتصال و Workflow قرائت چندروش.</w:t>
      </w:r>
    </w:p>
    <w:p>
      <w:pPr>
        <w:spacing w:after="80" w:line="300" w:lineRule="auto"/>
        <w:jc w:val="right"/>
        <w:bidi w:val="1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12B"/>
          <w:sz w:val="21"/>
        </w:rPr>
        <w:t>پشتیبانی کامل از همه کشورهای اتحادیه اروپا در یک نسخه؛ معماری آماده است اما Rule Pack هر کشور جدا تصویب می‌شود.</w:t>
      </w:r>
    </w:p>
    <w:p>
      <w:pPr>
        <w:spacing w:after="80" w:line="300" w:lineRule="auto"/>
        <w:jc w:val="right"/>
        <w:bidi w:val="1"/>
        <w:numPr>
          <w:ilvl w:val="0"/>
          <w:numId w:val="12"/>
        </w:numPr>
      </w:pPr>
      <w:r>
        <w:rPr>
          <w:rFonts w:ascii="DejaVu Sans" w:hAnsi="DejaVu Sans" w:cs="DejaVu Sans" w:eastAsia="DejaVu Sans"/>
          <w:color w:val="17212B"/>
          <w:sz w:val="21"/>
        </w:rPr>
        <w:t>بانکداری یا نگهداری وجه مشتری بدون چارچوب قانونی و شریک دارای مجوز.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۲.۴ اصول غیرقابل مذاکره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اصل</w:t>
            </w:r>
          </w:p>
        </w:tc>
        <w:tc>
          <w:tcPr>
            <w:tcW w:type="dxa" w:w="6840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اثر اجرایی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Financial truth first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هیچ داشبوردی مستقیماً داده مالی را تغییر نمی‌دهد؛ همه تغییرات از سند/رویداد به دفتر و Audit Log می‌روند.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Rights before screens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دسترسی از رابطه حقوقی/عملیاتی و بازه زمانی ساخته می‌شود، نه صرفاً نوع حساب.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Explainable allocation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هر ردیف شارژ باید مبنا، ضریب، داده ورودی و نسخه قانون را نشان دهد.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Human confirmation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OCR و AI پیشنهاد می‌دهند؛ ثبت رسمی، Journal Posting و تفسیر حساس با کنترل انسان است.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Migration is product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ورود مشتری بخشی از محصول و مزیت رقابتی است، نه پروژه دستی نامحدود.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Evidence over claims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پس‌انداز، خرابی، SLA و تصمیم با سند و زمان ثبت می‌شوند.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۳. معماری محصول و هسته‌ها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تمام قابلیت‌ها در یک نقشه دامنه بدون حذف حسابداری و بدون ایجاد ماژول‌های جزیره‌ای قرار گیرند.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۳.۱ سه حالت محصول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800"/>
        <w:gridCol w:w="2448"/>
        <w:gridCol w:w="3384"/>
        <w:gridCol w:w="1728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حالت</w:t>
            </w:r>
          </w:p>
        </w:tc>
        <w:tc>
          <w:tcPr>
            <w:tcW w:type="dxa" w:w="24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کاربر اصلی</w:t>
            </w:r>
          </w:p>
        </w:tc>
        <w:tc>
          <w:tcPr>
            <w:tcW w:type="dxa" w:w="338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ارزش اصلی</w:t>
            </w:r>
          </w:p>
        </w:tc>
        <w:tc>
          <w:tcPr>
            <w:tcW w:type="dxa" w:w="172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ماژول برند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Association OS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انجمن مالکان، مدیر، cenzor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حسابداری، شارژ، مجمع، نگهداری و شفافیت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Cladora Association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Owner Portfolio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مالک یک یا چند ملک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جریان نقدی، مستأجر، اسناد، تعهدات و دید واحد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Cladora Portfolio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Management Company OS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شرکت مدیریت چندساختمانی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عملیات چندسازمانی، SLA، تیم، خزانه و استانداردسازی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Cladora Manager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۳.۲ هفده هسته منطقی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720"/>
        <w:gridCol w:w="3024"/>
        <w:gridCol w:w="4824"/>
        <w:gridCol w:w="792"/>
      </w:tblGrid>
      <w:tr>
        <w:trPr>
          <w:tblHeader w:val="true"/>
          <w:cantSplit/>
        </w:trPr>
        <w:tc>
          <w:tcPr>
            <w:tcW w:type="dxa" w:w="7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کد</w:t>
            </w:r>
          </w:p>
        </w:tc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هسته</w:t>
            </w:r>
          </w:p>
        </w:tc>
        <w:tc>
          <w:tcPr>
            <w:tcW w:type="dxa" w:w="48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دامنه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اولویت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Financial Truth &amp; Accounting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دفتر کل، اسناد، دوره مالی، بودجه، صندوق و گزارش قانونی/مدیریتی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C02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Charge Allocation &amp; Financial Rights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تخصیص هزینه و تفکیک بدهکار قانونی، پرداخت‌کننده و ذی‌نفع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Treasury &amp; Procure-to-Pay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بانک، پرداخت، تأیید، تطبیق و کنترل وجه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C04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Receivables, Disputes &amp; Recovery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دریافت، بدهی، تقسیط، اعتراض و پرونده وصول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Compliance, Tax &amp; Workforce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تقویم انطباق، مالیات، کارکنان و مدارک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C06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Property, People, Occupancy &amp; Access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مالکیت، سکونت، اجاره، واحد خالی، Airbnb، شرکت و دسترسی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Building DNA &amp; Engineering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گونه ساختمان، اجزا، عایق، پنجره، گاز، ریسک و پروژه مهندسی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C08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Meter, Utility &amp; Consumption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کنتور، قرائت، تعرفه، انحراف و مصرف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C09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Assets, Maintenance, Safety &amp; Work Orders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دارایی، PM، خرابی، ایمنی، تیکت و دستورکار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C10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Contracts, Procurement, Vendors &amp; Insurance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قرارداد، مناقصه، فروشنده، بیمه و SLA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C11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Communication &amp; Notifications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شبکه مجازی ساختمان، اعلان حقوق‌محور و اثبات تحویل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C12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Governance: Decision-to-Execution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مجمع، رأی، مصوبه، اقدام و پایش اجرا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C13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Amenities, Parking &amp; Community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استخر، ورزشگاه، باغ، پارکینگ، رزرو و قوانین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P3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C14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Cost Intelligence, Risk &amp; Benchmark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ناهنجاری، مقایسه هم‌رده، فرصت و امتیاز ریسک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P3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C15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Savings, Revenue, Capital &amp; Building Value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پس‌انداز تأییدشده، درآمد، برنامه سرمایه‌ای و گزارش ارزش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P3</w:t>
            </w:r>
          </w:p>
        </w:tc>
      </w:tr>
      <w:tr>
        <w:trPr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C16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 &amp; Interoperability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ورود، نگاشت، تطبیق، Shadow Ledger، API و خروج داده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C17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Portfolio, Trust &amp; Platform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سبد مالک، چندسازمانی، هویت، امنیت، Audit و تنظیمات پلتفرم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۳.۳ بسته‌های توسعه بین‌المللی</w:t>
      </w:r>
    </w:p>
    <w:p>
      <w:pPr>
        <w:spacing w:after="80" w:line="300" w:lineRule="auto"/>
        <w:jc w:val="right"/>
        <w:bidi w:val="1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12B"/>
          <w:sz w:val="21"/>
        </w:rPr>
        <w:t>Country Rule Packs: قوانین حسابداری، مالیات، انجمن، اطلاع‌رسانی، حریم خصوصی و قالب‌های هر کشور.</w:t>
      </w:r>
    </w:p>
    <w:p>
      <w:pPr>
        <w:spacing w:after="80" w:line="300" w:lineRule="auto"/>
        <w:jc w:val="right"/>
        <w:bidi w:val="1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12B"/>
          <w:sz w:val="21"/>
        </w:rPr>
        <w:t>Open API &amp; Workflow Automation: وب‌هوک، اتصال ERP/بانک/کنتور و موتور گردش کار قابل تنظیم.</w:t>
      </w:r>
    </w:p>
    <w:p>
      <w:pPr>
        <w:spacing w:after="80" w:line="300" w:lineRule="auto"/>
        <w:jc w:val="right"/>
        <w:bidi w:val="1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12B"/>
          <w:sz w:val="21"/>
        </w:rPr>
        <w:t>Property Transaction &amp; Developer Handover: تحویل سازنده، Defect List، مدارک فروش و انتقال مالکیت.</w:t>
      </w:r>
    </w:p>
    <w:p>
      <w:pPr>
        <w:spacing w:after="80" w:line="300" w:lineRule="auto"/>
        <w:jc w:val="right"/>
        <w:bidi w:val="1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12B"/>
          <w:sz w:val="21"/>
        </w:rPr>
        <w:t>Security &amp; Concierge: دسترسی مهمان، تحویل کلید، پیمانکار، بسته و رخداد امنیتی.</w:t>
      </w:r>
    </w:p>
    <w:p>
      <w:pPr>
        <w:spacing w:after="80" w:line="300" w:lineRule="auto"/>
        <w:jc w:val="right"/>
        <w:bidi w:val="1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12B"/>
          <w:sz w:val="21"/>
        </w:rPr>
        <w:t>Rental Lifecycle: قرارداد، سپرده، ورود/خروج، بازرسی، خسارت و تسویه.</w:t>
      </w:r>
    </w:p>
    <w:p>
      <w:pPr>
        <w:spacing w:after="80" w:line="300" w:lineRule="auto"/>
        <w:jc w:val="right"/>
        <w:bidi w:val="1"/>
        <w:numPr>
          <w:ilvl w:val="0"/>
          <w:numId w:val="13"/>
        </w:numPr>
      </w:pPr>
      <w:r>
        <w:rPr>
          <w:rFonts w:ascii="DejaVu Sans" w:hAnsi="DejaVu Sans" w:cs="DejaVu Sans" w:eastAsia="DejaVu Sans"/>
          <w:color w:val="17212B"/>
          <w:sz w:val="21"/>
        </w:rPr>
        <w:t>ESG &amp; Connected Building: انرژی، آب، کربن، سنسور و گزارش پایداری.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۴. پرسونا، حقوق و ارتباطات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مالک، مستأجر، ساکن موقت، مدیر و پیمانکار بدون از بین‌رفتن حقوق یکدیگر کار کنند.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۴.۱ مدل رابطه‌ای هویت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نوع کاربر ثابت نیست. یک فرد می‌تواند در ملک A مالک، در ملک B مستأجر، در ملک C نماینده حقوقی و در انجمن D عضو هیئت‌مدیره باشد. بنابراین Permission از رابطه Person–Property–Role–Time–Purpose ساخته می‌شود.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088"/>
        <w:gridCol w:w="4392"/>
        <w:gridCol w:w="2880"/>
      </w:tblGrid>
      <w:tr>
        <w:trPr>
          <w:tblHeader w:val="true"/>
          <w:cantSplit/>
        </w:trPr>
        <w:tc>
          <w:tcPr>
            <w:tcW w:type="dxa" w:w="208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نقش/وضعیت</w:t>
            </w:r>
          </w:p>
        </w:tc>
        <w:tc>
          <w:tcPr>
            <w:tcW w:type="dxa" w:w="439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دسترسی اصلی</w:t>
            </w:r>
          </w:p>
        </w:tc>
        <w:tc>
          <w:tcPr>
            <w:tcW w:type="dxa" w:w="2880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محدودیت کلیدی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مالک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حساب، بدهی، سرمایه، رأی، مدارک مالکیتی و وضعیت واحد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اطلاعات خصوصی سایر واحدها فقط در حدود مبنای قانونی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مستأجر بلندمدت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هزینه‌های واگذارشده، پرداخت، مصرف، تیکت و اعلان عملیاتی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رأی مالک، پروژه سرمایه‌ای و مانده خصوصی مالک ممنوع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ساکن غیرمالک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ایمنی، تیکت، امکانات و اعلان مربوط به سکونت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بدون دسترسی مالی مگر با Grant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Airbnb/مهمان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قوانین، ورود محدود، اعلان اضطراری و رزرو مجاز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زمان‌دار؛ بدون مشاهده مالی/فهرست ساکنان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مدیر/شرکت مدیریت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عملیات و مالی در Scope قرارداد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تفکیک سازمانی و اصل حداقل دسترسی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هیئت‌مدیره/رئیس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تصمیم، قرارداد، گزارش و تأیید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تفکیک وظایف؛ تأیید پرداخت شخصی ممنوع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Cenzor/ممیز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گزارش و اسناد قابل حسابرسی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ترجیحاً Read-only و ثبت کامل مشاهده حساس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پیمانکار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دستورکار، محل، زمان و مدارک ضروری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7"/>
              </w:rPr>
              <w:t>عدم دسترسی به فهرست تماس/بدهی/مالکیت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۴.۲ ماتریس ارتباط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944"/>
        <w:gridCol w:w="1800"/>
        <w:gridCol w:w="2088"/>
        <w:gridCol w:w="1152"/>
        <w:gridCol w:w="2376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رویداد</w:t>
            </w:r>
          </w:p>
        </w:tc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گیرنده رسمی</w:t>
            </w:r>
          </w:p>
        </w:tc>
        <w:tc>
          <w:tcPr>
            <w:tcW w:type="dxa" w:w="208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گیرنده عملیاتی</w:t>
            </w:r>
          </w:p>
        </w:tc>
        <w:tc>
          <w:tcPr>
            <w:tcW w:type="dxa" w:w="115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سطح</w:t>
            </w:r>
          </w:p>
        </w:tc>
        <w:tc>
          <w:tcPr>
            <w:tcW w:type="dxa" w:w="237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قاعده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صورت‌حساب و بدهی واحد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مالک/بدهکار قانونی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مستأجر اگر پرداخت‌کننده است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Private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ثبت تحویل؛ کانال قانونی در صورت الزام</w:t>
            </w:r>
          </w:p>
        </w:tc>
      </w:tr>
      <w:tr>
        <w:trPr>
          <w:cantSplit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شارژ جاری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مالک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مستأجر/ساکنِ مسئول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Private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تفکیک ردیف‌های قابل پرداخت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هزینه سرمایه‌ای و رأی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مالک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ساکن برای اثر عملیاتی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Owner-only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مهلت، نصاب و سند مصوبه</w:t>
            </w:r>
          </w:p>
        </w:tc>
      </w:tr>
      <w:tr>
        <w:trPr>
          <w:cantSplit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قطع آب/گاز/برق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مالک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همه ساکنان جاری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Operational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اعلان فوری چندکاناله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رخداد ایمنی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مالک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ساکن و تماس اضطراری مجاز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Need-to-know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ثبت دریافت و escalation</w:t>
            </w:r>
          </w:p>
        </w:tc>
      </w:tr>
      <w:tr>
        <w:trPr>
          <w:cantSplit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تعمیر داخل واحد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مالک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ساکن و پیمانکار منتخب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Case-only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زمان دسترسی و رضایت ثبت شود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اطلاع عمومی انجمن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مالک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ساکن در صورت مرتبط بودن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Building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اپ مکمل تابلو/پست قانونی است</w:t>
            </w:r>
          </w:p>
        </w:tc>
      </w:tr>
      <w:tr>
        <w:trPr>
          <w:cantSplit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تأخیر پیمانکار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مدیر/تصمیم‌گیر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درخواست‌دهنده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Case-only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SLA و دلیل تأخیر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9B1C1C"/>
          <w:left w:val="single" w:sz="9" w:space="0" w:color="9B1C1C"/>
          <w:bottom w:val="single" w:sz="9" w:space="0" w:color="9B1C1C"/>
          <w:right w:val="single" w:sz="9" w:space="0" w:color="9B1C1C"/>
          <w:insideH w:val="single" w:sz="9" w:space="0" w:color="9B1C1C"/>
          <w:insideV w:val="single" w:sz="9" w:space="0" w:color="9B1C1C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9B1C1C"/>
                <w:sz w:val="20"/>
              </w:rPr>
              <w:t xml:space="preserve">قاعده امنیتی: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شماره تماس، وضعیت سکونت، کلید، مهمان، بدهی، خالی‌بودن واحد و نوع استفاده، داده امنیتی‌اند. نمایش عمومی فهرست ساکنان یا بدهکاران در محصول پیش‌فرض ممنوع است؛ هر نمایش نیازمند Purpose، مبنای حقوقی، Scope، مدت و Audit است.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۴.۳ تفکیک هزینه مالک و مستأجر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هر Charge Line چهار فیلد مستقل دارد: Legal Debtor، Operational Payer، Economic Beneficiary و Reimbursement Status. قانون محصول نباید فرض کند هر هزینه جاری همیشه با مستأجر یا هر تعمیر همیشه با مالک است؛ قرارداد اجاره، قانون، مصوبه انجمن و نوع هزینه، با تاریخ اثر، تصمیم می‌سازند.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520"/>
        <w:gridCol w:w="2952"/>
        <w:gridCol w:w="3888"/>
      </w:tblGrid>
      <w:tr>
        <w:trPr>
          <w:tblHeader w:val="true"/>
          <w:cantSplit/>
        </w:trPr>
        <w:tc>
          <w:tcPr>
            <w:tcW w:type="dxa" w:w="2520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گروه هزینه</w:t>
            </w:r>
          </w:p>
        </w:tc>
        <w:tc>
          <w:tcPr>
            <w:tcW w:type="dxa" w:w="295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پیش‌فرض تحلیلی</w:t>
            </w:r>
          </w:p>
        </w:tc>
        <w:tc>
          <w:tcPr>
            <w:tcW w:type="dxa" w:w="388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تصمیم نهایی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مصرف و خدمات جاری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قابل واگذاری به ساکن/مستأجر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قرارداد اجاره + سند شارژ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تعمیر نگهداری معمول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وابسته به علت و قرارداد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Rule Pack + قرارداد + تأیید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صندوق تعمیرات/سرمایه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مالکیتی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قانون/مصوبه انجمن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خسارت ناشی از استفاده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مسئول ایجاد خسارت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مدرک، گزارش و فرایند اعتراض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بهبود ارزش و نوسازی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مالکیتی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تصمیم مالک/انجمن و رأی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جریمه یا دیرکرد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بدهکار قانونی؛ قابل بازپرداخت قراردادی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قرارداد و روند اعتراض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۵. گونه‌شناسی ساختمان و Rule Pack مهندسی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تحلیل هزینه و نگهداری بر اساس نوع واقعی ساختمان انجام شود.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648"/>
        <w:gridCol w:w="2088"/>
        <w:gridCol w:w="3384"/>
        <w:gridCol w:w="3240"/>
      </w:tblGrid>
      <w:tr>
        <w:trPr>
          <w:tblHeader w:val="true"/>
          <w:cantSplit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کد</w:t>
            </w:r>
          </w:p>
        </w:tc>
        <w:tc>
          <w:tcPr>
            <w:tcW w:type="dxa" w:w="208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گونه</w:t>
            </w:r>
          </w:p>
        </w:tc>
        <w:tc>
          <w:tcPr>
            <w:tcW w:type="dxa" w:w="338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ویژگی</w:t>
            </w:r>
          </w:p>
        </w:tc>
        <w:tc>
          <w:tcPr>
            <w:tcW w:type="dxa" w:w="32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اثر بر سیستم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بلوک کمونیستی پیش از ۱۹۹۰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رایزر عمودی، گرمایش مرکزی/منطقه‌ای، کنتورهای ناهمگون، نمای مشترک، ریسک تعمیرات عقب‌افتاده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قواعد مصرف/اتلاف، rehabilitation، سیستم مشترک و بازرسی تخصصی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A2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بلوک نوسازی‌شده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پوسته/پنجره/تأسیسات بخشی اصلاح شده اما کیفیت اجرا متفاوت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ثبت دقیق Scope نوسازی و قبل/بعد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ساختمان ۱۹۹۰–۲۰۱۰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سیستم‌های ترکیبی و اسناد گاهی ناقص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Baseline دارایی و قرارداد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A4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ساختمان جدید/مجتمع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پارکینگ، آسانسور متعدد، کنترل دسترسی، CCTV، استخر، سالن ورزشی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SLA، امکانات، انرژی مشترک و Reserve Planning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شهرک ویلایی/گیت‌دار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خیابان خصوصی، باغ، نگهبانی، روشنایی، شبکه آب/فاضلاب و فضای سبز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Zone-based allocation و دارایی شبکه‌ای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A6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ویلای مستقل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یک مالک/خانوار؛ بدون انجمن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بودجه خانوار، نگهداری، انرژی، قرارداد و ارزش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مختلط مسکونی-تجاری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مصرف و تردد متفاوت، VAT/قرارداد متفاوت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تفکیک zone/use و submeter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A8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کوتاه‌مدت/هتلی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گردش مهمان، کلید، نظافت و نرخ اشغال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دسترسی زمان‌دار و Rental Lifecycle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۵.۱ دامنه مهندسی نسخه اول</w:t>
      </w:r>
    </w:p>
    <w:p>
      <w:pPr>
        <w:spacing w:after="80" w:line="300" w:lineRule="auto"/>
        <w:jc w:val="right"/>
        <w:bidi w:val="1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12B"/>
          <w:sz w:val="21"/>
        </w:rPr>
        <w:t>پوسته: نما، سقف، زیرزمین، عایق حرارتی/رطوبتی و درزبندی؛ ثبت وضعیت، عکس، بازرسی و اقدام.</w:t>
      </w:r>
    </w:p>
    <w:p>
      <w:pPr>
        <w:spacing w:after="80" w:line="300" w:lineRule="auto"/>
        <w:jc w:val="right"/>
        <w:bidi w:val="1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12B"/>
          <w:sz w:val="21"/>
        </w:rPr>
        <w:t>پنجره و در: نوع شیشه/فریم، مالکیت جزء، کیفیت نصب، نفوذ هوا و اثر بر مصرف؛ بدون تشخیص قطعی از عکس.</w:t>
      </w:r>
    </w:p>
    <w:p>
      <w:pPr>
        <w:spacing w:after="80" w:line="300" w:lineRule="auto"/>
        <w:jc w:val="right"/>
        <w:bidi w:val="1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12B"/>
          <w:sz w:val="21"/>
        </w:rPr>
        <w:t>گاز و گرمایش: نوع سیستم، boiler/centralized/district، بازرسی‌های لازم، مصرف و رخداد؛ عملیات فنی فقط متخصص مجاز.</w:t>
      </w:r>
    </w:p>
    <w:p>
      <w:pPr>
        <w:spacing w:after="80" w:line="300" w:lineRule="auto"/>
        <w:jc w:val="right"/>
        <w:bidi w:val="1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12B"/>
          <w:sz w:val="21"/>
        </w:rPr>
        <w:t>آب: کنتور اصلی/فرعی، رایزر، اختلاف قرائت، نشتی محتمل و تست توصیه‌شده.</w:t>
      </w:r>
    </w:p>
    <w:p>
      <w:pPr>
        <w:spacing w:after="80" w:line="300" w:lineRule="auto"/>
        <w:jc w:val="right"/>
        <w:bidi w:val="1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12B"/>
          <w:sz w:val="21"/>
        </w:rPr>
        <w:t>برق مشاعات: روشنایی، آسانسور، پمپ، پارکینگ، استخر و مصرف پایه شبانه.</w:t>
      </w:r>
    </w:p>
    <w:p>
      <w:pPr>
        <w:spacing w:after="80" w:line="300" w:lineRule="auto"/>
        <w:jc w:val="right"/>
        <w:bidi w:val="1"/>
        <w:numPr>
          <w:ilvl w:val="0"/>
          <w:numId w:val="14"/>
        </w:numPr>
      </w:pPr>
      <w:r>
        <w:rPr>
          <w:rFonts w:ascii="DejaVu Sans" w:hAnsi="DejaVu Sans" w:cs="DejaVu Sans" w:eastAsia="DejaVu Sans"/>
          <w:color w:val="17212B"/>
          <w:sz w:val="21"/>
        </w:rPr>
        <w:t>دارایی‌های ویژه: استخر، سالن ورزش، دروازه، ژنراتور، پمپ آتش‌نشانی، CCTV، فضای سبز و شبکه‌های محوطه.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7A5A00"/>
          <w:left w:val="single" w:sz="9" w:space="0" w:color="7A5A00"/>
          <w:bottom w:val="single" w:sz="9" w:space="0" w:color="7A5A00"/>
          <w:right w:val="single" w:sz="9" w:space="0" w:color="7A5A00"/>
          <w:insideH w:val="single" w:sz="9" w:space="0" w:color="7A5A00"/>
          <w:insideV w:val="single" w:sz="9" w:space="0" w:color="7A5A00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7A5A00"/>
                <w:sz w:val="20"/>
              </w:rPr>
              <w:t xml:space="preserve">مرز مهندسی: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CLADORA وضعیت و شواهد را سازمان می‌دهد، Rule Trigger ایجاد می‌کند و متخصص مناسب پیشنهاد می‌دهد؛ گزارش رسمی انرژی، ایمنی گاز یا سازه باید توسط شخص دارای صلاحیت صادر شود.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۶. قرائت کنتور و تحلیل مصرف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فرایند قرائت سریع‌تر، قابل اعتماد و قابل ممیزی طراحی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۶.۱ روش‌های ورودی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800"/>
        <w:gridCol w:w="1944"/>
        <w:gridCol w:w="3960"/>
        <w:gridCol w:w="1656"/>
      </w:tblGrid>
      <w:tr>
        <w:trPr>
          <w:tblHeader w:val="true"/>
          <w:cantSplit/>
        </w:trPr>
        <w:tc>
          <w:tcPr>
            <w:tcW w:type="dxa" w:w="1800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روش</w:t>
            </w:r>
          </w:p>
        </w:tc>
        <w:tc>
          <w:tcPr>
            <w:tcW w:type="dxa" w:w="1944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مزیت</w:t>
            </w:r>
          </w:p>
        </w:tc>
        <w:tc>
          <w:tcPr>
            <w:tcW w:type="dxa" w:w="3960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کنترل دقت</w:t>
            </w:r>
          </w:p>
        </w:tc>
        <w:tc>
          <w:tcPr>
            <w:tcW w:type="dxa" w:w="1656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نسخه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عکس + OCR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سریع و کم‌هزینه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شناسه کنتور، زمان، geofence اختیاری، confidence و تأیید انسان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QR/NFC Meter ID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جلوگیری از اشتباه کنتور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اتصال شناسه فیزیکی به Asset Registry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ورود دستی دوگانه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Fallback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قید دامنه، مقایسه با قبلی، دلیل اصلاح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فایل شرکت خدمات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ورود گروهی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Schema mapping و reconciliation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M-Bus/wM-Bus/LoRa/AMI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خودکار و پرتکرار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Device health، gap detection و vendor adapter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Post-MVP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Bluetooth محلی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مناسب تکنسین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ثبت دستگاه/اپراتور و offline sync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Post-MVP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۶.۲ خط لوله اعتبارسنجی</w:t>
      </w:r>
    </w:p>
    <w:p>
      <w:pPr>
        <w:spacing w:after="80" w:line="300" w:lineRule="auto"/>
        <w:jc w:val="right"/>
        <w:bidi w:val="1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12B"/>
          <w:sz w:val="21"/>
        </w:rPr>
        <w:t>شناسه کنتور و واحد/ناحیه تطبیق داده شود؛ عکس بدون شناسه به صف بررسی می‌رود.</w:t>
      </w:r>
    </w:p>
    <w:p>
      <w:pPr>
        <w:spacing w:after="80" w:line="300" w:lineRule="auto"/>
        <w:jc w:val="right"/>
        <w:bidi w:val="1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12B"/>
          <w:sz w:val="21"/>
        </w:rPr>
        <w:t>قرائت جدید نباید از قرائت قبلی کمتر باشد مگر rollover، تعویض کنتور یا correction ثبت‌شده.</w:t>
      </w:r>
    </w:p>
    <w:p>
      <w:pPr>
        <w:spacing w:after="80" w:line="300" w:lineRule="auto"/>
        <w:jc w:val="right"/>
        <w:bidi w:val="1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12B"/>
          <w:sz w:val="21"/>
        </w:rPr>
        <w:t>مصرف با فصل مشابه، نرخ اشغال، تعرفه و الگوی ساختمان مقایسه شود.</w:t>
      </w:r>
    </w:p>
    <w:p>
      <w:pPr>
        <w:spacing w:after="80" w:line="300" w:lineRule="auto"/>
        <w:jc w:val="right"/>
        <w:bidi w:val="1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12B"/>
          <w:sz w:val="21"/>
        </w:rPr>
        <w:t>اختلاف کنتور اصلی و مجموع فرعی با هم‌زمانی قرائت و مصرف مشاعات تعدیل شود.</w:t>
      </w:r>
    </w:p>
    <w:p>
      <w:pPr>
        <w:spacing w:after="80" w:line="300" w:lineRule="auto"/>
        <w:jc w:val="right"/>
        <w:bidi w:val="1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12B"/>
          <w:sz w:val="21"/>
        </w:rPr>
        <w:t>Confidence پایین، جهش، سکون طولانی یا عکس نامعتبر باعث Human Review می‌شود.</w:t>
      </w:r>
    </w:p>
    <w:p>
      <w:pPr>
        <w:spacing w:after="80" w:line="300" w:lineRule="auto"/>
        <w:jc w:val="right"/>
        <w:bidi w:val="1"/>
        <w:numPr>
          <w:ilvl w:val="0"/>
          <w:numId w:val="15"/>
        </w:numPr>
      </w:pPr>
      <w:r>
        <w:rPr>
          <w:rFonts w:ascii="DejaVu Sans" w:hAnsi="DejaVu Sans" w:cs="DejaVu Sans" w:eastAsia="DejaVu Sans"/>
          <w:color w:val="17212B"/>
          <w:sz w:val="21"/>
        </w:rPr>
        <w:t>هر اصلاح مقدار اولیه، مقدار جدید، دلیل، کاربر، زمان و سند را نگه می‌دارد.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خروجی تحلیل باید احتمالات را درجه‌بندی کند؛ برای مثال «اختلاف سه‌ماهه ۱۷ تا ۲۲ درصد است؛ احتمال خطای زمان قرائت یا نشتی بالاست؛ اقدام: قرائت هم‌زمان و تست فشار». سیستم بدون شواهد نباید وجود نشتی یا دستکاری را قطعی اعلام کند.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۷. معماری مالی و حسابداری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تمام اطلاعات مالی به یک دفتر حقیقت دوطرفه، قابل بستن و قابل حسابرسی متصل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۷.۱ اجزای هسته مالی</w:t>
      </w:r>
    </w:p>
    <w:p>
      <w:pPr>
        <w:spacing w:after="80" w:line="300" w:lineRule="auto"/>
        <w:jc w:val="right"/>
        <w:bidi w:val="1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12B"/>
          <w:sz w:val="21"/>
        </w:rPr>
        <w:t>Chart of Accounts قابل نسخه‌بندی برای انجمن، شرکت مدیریت و سبد مالک.</w:t>
      </w:r>
    </w:p>
    <w:p>
      <w:pPr>
        <w:spacing w:after="80" w:line="300" w:lineRule="auto"/>
        <w:jc w:val="right"/>
        <w:bidi w:val="1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12B"/>
          <w:sz w:val="21"/>
        </w:rPr>
        <w:t>Double-entry Journal با Posting کنترل‌شده، دوره باز/بسته و Reverse Entry به‌جای حذف.</w:t>
      </w:r>
    </w:p>
    <w:p>
      <w:pPr>
        <w:spacing w:after="80" w:line="300" w:lineRule="auto"/>
        <w:jc w:val="right"/>
        <w:bidi w:val="1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12B"/>
          <w:sz w:val="21"/>
        </w:rPr>
        <w:t>Document Registry برای invoice، receipt، contract، bank statement و allocation evidence.</w:t>
      </w:r>
    </w:p>
    <w:p>
      <w:pPr>
        <w:spacing w:after="80" w:line="300" w:lineRule="auto"/>
        <w:jc w:val="right"/>
        <w:bidi w:val="1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12B"/>
          <w:sz w:val="21"/>
        </w:rPr>
        <w:t>Cost Center/Building/Entrance/Unit/Project/Fund dimensions برای گزارش چندبعدی.</w:t>
      </w:r>
    </w:p>
    <w:p>
      <w:pPr>
        <w:spacing w:after="80" w:line="300" w:lineRule="auto"/>
        <w:jc w:val="right"/>
        <w:bidi w:val="1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12B"/>
          <w:sz w:val="21"/>
        </w:rPr>
        <w:t>Budget، actual، committed cost و forecast با variance explanation.</w:t>
      </w:r>
    </w:p>
    <w:p>
      <w:pPr>
        <w:spacing w:after="80" w:line="300" w:lineRule="auto"/>
        <w:jc w:val="right"/>
        <w:bidi w:val="1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12B"/>
          <w:sz w:val="21"/>
        </w:rPr>
        <w:t>Funds و reserve با محدودیت مصرف، تصمیم تصویب و مانده قابل ردیابی.</w:t>
      </w:r>
    </w:p>
    <w:p>
      <w:pPr>
        <w:spacing w:after="80" w:line="300" w:lineRule="auto"/>
        <w:jc w:val="right"/>
        <w:bidi w:val="1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12B"/>
          <w:sz w:val="21"/>
        </w:rPr>
        <w:t>Receivable/Payable subledgers، aging، dispute و payment allocation.</w:t>
      </w:r>
    </w:p>
    <w:p>
      <w:pPr>
        <w:spacing w:after="80" w:line="300" w:lineRule="auto"/>
        <w:jc w:val="right"/>
        <w:bidi w:val="1"/>
        <w:numPr>
          <w:ilvl w:val="0"/>
          <w:numId w:val="16"/>
        </w:numPr>
      </w:pPr>
      <w:r>
        <w:rPr>
          <w:rFonts w:ascii="DejaVu Sans" w:hAnsi="DejaVu Sans" w:cs="DejaVu Sans" w:eastAsia="DejaVu Sans"/>
          <w:color w:val="17212B"/>
          <w:sz w:val="21"/>
        </w:rPr>
        <w:t>Month-end checklist، reconciliation، approval و immutable closing package.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۷.۲ چرخه سند تا گزارش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656"/>
        <w:gridCol w:w="4536"/>
        <w:gridCol w:w="316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مرحله</w:t>
            </w:r>
          </w:p>
        </w:tc>
        <w:tc>
          <w:tcPr>
            <w:tcW w:type="dxa" w:w="453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کنترل</w:t>
            </w:r>
          </w:p>
        </w:tc>
        <w:tc>
          <w:tcPr>
            <w:tcW w:type="dxa" w:w="316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خروجی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Capture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OCR/ورود + فایل اصل + checksum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Draft document</w:t>
            </w:r>
          </w:p>
        </w:tc>
      </w:tr>
      <w:tr>
        <w:trPr>
          <w:cantSplit/>
        </w:trP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Classify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vendor، دوره، مالیات، حساب و dimension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Proposed coding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Approve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SoD، بودجه، قرارداد و duplicate check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Approved document</w:t>
            </w:r>
          </w:p>
        </w:tc>
      </w:tr>
      <w:tr>
        <w:trPr>
          <w:cantSplit/>
        </w:trP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Post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قواعد دوطرفه و دوره باز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Journal entry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Allocate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Rule version + driver + unit population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Charge lines</w:t>
            </w:r>
          </w:p>
        </w:tc>
      </w:tr>
      <w:tr>
        <w:trPr>
          <w:cantSplit/>
        </w:trP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Collect/Pay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بانک، PSP یا دستی با evidence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Settlements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Reconcile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Bank/subledger/GL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Exceptions resolved</w:t>
            </w:r>
          </w:p>
        </w:tc>
      </w:tr>
      <w:tr>
        <w:trPr>
          <w:cantSplit/>
        </w:trPr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Close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Checklist، sign-off و lock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Monthly close package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Report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owner/tenant/legal/management views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Rights-filtered reports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۷.۳ قواعد پذیرش مالی غیرقابل اغماض</w:t>
      </w:r>
    </w:p>
    <w:p>
      <w:pPr>
        <w:spacing w:after="80" w:line="300" w:lineRule="auto"/>
        <w:jc w:val="right"/>
        <w:bidi w:val="1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12B"/>
          <w:sz w:val="21"/>
        </w:rPr>
        <w:t>برای هر Journal Entry، مجموع بدهکار و بستانکار دقیقاً برابر باشد.</w:t>
      </w:r>
    </w:p>
    <w:p>
      <w:pPr>
        <w:spacing w:after="80" w:line="300" w:lineRule="auto"/>
        <w:jc w:val="right"/>
        <w:bidi w:val="1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12B"/>
          <w:sz w:val="21"/>
        </w:rPr>
        <w:t>سند Posted حذف یا بی‌صدا ویرایش نشود؛ فقط Reverse/Correct با زنجیره Audit.</w:t>
      </w:r>
    </w:p>
    <w:p>
      <w:pPr>
        <w:spacing w:after="80" w:line="300" w:lineRule="auto"/>
        <w:jc w:val="right"/>
        <w:bidi w:val="1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12B"/>
          <w:sz w:val="21"/>
        </w:rPr>
        <w:t>بستن دوره، ثبت پس از تاریخ بسته را مسدود کند مگر Reopen با مجوز و دلیل.</w:t>
      </w:r>
    </w:p>
    <w:p>
      <w:pPr>
        <w:spacing w:after="80" w:line="300" w:lineRule="auto"/>
        <w:jc w:val="right"/>
        <w:bidi w:val="1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12B"/>
          <w:sz w:val="21"/>
        </w:rPr>
        <w:t>مانده Unit Subledger با GL Control Account در هر پایان ماه برابر باشد.</w:t>
      </w:r>
    </w:p>
    <w:p>
      <w:pPr>
        <w:spacing w:after="80" w:line="300" w:lineRule="auto"/>
        <w:jc w:val="right"/>
        <w:bidi w:val="1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12B"/>
          <w:sz w:val="21"/>
        </w:rPr>
        <w:t>هر Charge Line از گزارش کاربر تا سند، حساب، Rule Version و Driver قابل Drill-down باشد.</w:t>
      </w:r>
    </w:p>
    <w:p>
      <w:pPr>
        <w:spacing w:after="80" w:line="300" w:lineRule="auto"/>
        <w:jc w:val="right"/>
        <w:bidi w:val="1"/>
        <w:numPr>
          <w:ilvl w:val="0"/>
          <w:numId w:val="17"/>
        </w:numPr>
      </w:pPr>
      <w:r>
        <w:rPr>
          <w:rFonts w:ascii="DejaVu Sans" w:hAnsi="DejaVu Sans" w:cs="DejaVu Sans" w:eastAsia="DejaVu Sans"/>
          <w:color w:val="17212B"/>
          <w:sz w:val="21"/>
        </w:rPr>
        <w:t>پرداخت تکراری، invoice تکراری و mismatch بانکی در صف exception قرار گیرد.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۸. داده، رویداد و Source of Truth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مدل داده مشترک مانع تناقض میان حسابداری، سکونت، نگهداری و سبد مالک شود.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3024"/>
        <w:gridCol w:w="4464"/>
        <w:gridCol w:w="1872"/>
      </w:tblGrid>
      <w:tr>
        <w:trPr>
          <w:tblHeader w:val="true"/>
          <w:cantSplit/>
        </w:trPr>
        <w:tc>
          <w:tcPr>
            <w:tcW w:type="dxa" w:w="3024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464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تعریف</w:t>
            </w:r>
          </w:p>
        </w:tc>
        <w:tc>
          <w:tcPr>
            <w:tcW w:type="dxa" w:w="187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مالک دامنه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Tenant/Organization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مرز داده و قرارداد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Association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انجمن مالکان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Association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Property/Building/Entrance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سلسله‌مراتب ملک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Property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Unit/Space/Zone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واحد، پارکینگ، تجاری، مشاع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Property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Person/Company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هویت فرد/شرکت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Identity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Ownership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مالکیت سهم‌دار و بازه زمانی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Rights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Occupancy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سکونت و تعداد نفرات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Rights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Lease/Stay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اجاره یا اقامت کوتاه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Rental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Role/Grant/Credential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اختیار و دسترسی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Trust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Vendor/Contract/SLA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تأمین و تعهد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Procurement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Document/Invoice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سند و فاکتور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Journal/Account/Period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ثبت و دوره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Budget/Fund/Project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برنامه و منابع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Finance/Capital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ChargeRule/Driver/Allocation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تخصیص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Rights/Finance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Payment/BankTxn/Settlement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جریان وجه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Treasury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Meter/Reading/Tariff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مصرف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Utility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Asset/Inspection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دارایی و وضعیت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Maintenance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Ticket/WorkOrder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درخواست و اجرا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Maintenance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Meeting/Vote/Resolution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حاکمیت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Governance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Amenity/Booking/Access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امکانات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Community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Opportunity/SavingsRecord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تحلیل و نتیجه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Intelligence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MigrationBatch/Mapping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مهاجرت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Message/DeliveryReceipt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ارتباط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Communication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AuditEvent/Consent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اعتماد و انطباق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Trust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۸.۱ رویدادهای مرزی</w:t>
      </w:r>
    </w:p>
    <w:p>
      <w:pPr>
        <w:spacing w:after="80" w:line="300" w:lineRule="auto"/>
        <w:jc w:val="right"/>
        <w:bidi w:val="1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12B"/>
          <w:sz w:val="21"/>
        </w:rPr>
        <w:t>InvoiceApproved → پیشنهاد ثبت مالی؛ JournalPosted → قابلیت تخصیص؛ AllocationPublished → اعلان حقوق‌محور.</w:t>
      </w:r>
    </w:p>
    <w:p>
      <w:pPr>
        <w:spacing w:after="80" w:line="300" w:lineRule="auto"/>
        <w:jc w:val="right"/>
        <w:bidi w:val="1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12B"/>
          <w:sz w:val="21"/>
        </w:rPr>
        <w:t>OwnershipChanged یا OccupancyChanged → بازسازی حقوق فقط از Effective Date و بدون تغییر تاریخ بسته.</w:t>
      </w:r>
    </w:p>
    <w:p>
      <w:pPr>
        <w:spacing w:after="80" w:line="300" w:lineRule="auto"/>
        <w:jc w:val="right"/>
        <w:bidi w:val="1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12B"/>
          <w:sz w:val="21"/>
        </w:rPr>
        <w:t>MeterReadingVerified → مصرف و exception؛ TariffChanged → تعدیل baseline.</w:t>
      </w:r>
    </w:p>
    <w:p>
      <w:pPr>
        <w:spacing w:after="80" w:line="300" w:lineRule="auto"/>
        <w:jc w:val="right"/>
        <w:bidi w:val="1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12B"/>
          <w:sz w:val="21"/>
        </w:rPr>
        <w:t>ResolutionApproved → ایجاد Project/Task/Budget Commitment؛ نه ثبت دستی جدا.</w:t>
      </w:r>
    </w:p>
    <w:p>
      <w:pPr>
        <w:spacing w:after="80" w:line="300" w:lineRule="auto"/>
        <w:jc w:val="right"/>
        <w:bidi w:val="1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12B"/>
          <w:sz w:val="21"/>
        </w:rPr>
        <w:t>WorkOrderClosed → ثبت هزینه، downtime، asset history و رضایت؛ در صورت مرتبط، candidate savings.</w:t>
      </w:r>
    </w:p>
    <w:p>
      <w:pPr>
        <w:spacing w:after="80" w:line="300" w:lineRule="auto"/>
        <w:jc w:val="right"/>
        <w:bidi w:val="1"/>
        <w:numPr>
          <w:ilvl w:val="0"/>
          <w:numId w:val="18"/>
        </w:numPr>
      </w:pPr>
      <w:r>
        <w:rPr>
          <w:rFonts w:ascii="DejaVu Sans" w:hAnsi="DejaVu Sans" w:cs="DejaVu Sans" w:eastAsia="DejaVu Sans"/>
          <w:color w:val="17212B"/>
          <w:sz w:val="21"/>
        </w:rPr>
        <w:t>MigrationBatchReconciled → مجوز Shadow Ledger؛ CutoverApproved → فعال‌سازی Source of Truth جدید.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13847C"/>
          <w:left w:val="single" w:sz="9" w:space="0" w:color="13847C"/>
          <w:bottom w:val="single" w:sz="9" w:space="0" w:color="13847C"/>
          <w:right w:val="single" w:sz="9" w:space="0" w:color="13847C"/>
          <w:insideH w:val="single" w:sz="9" w:space="0" w:color="13847C"/>
          <w:insideV w:val="single" w:sz="9" w:space="0" w:color="13847C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7F5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13847C"/>
                <w:sz w:val="20"/>
              </w:rPr>
              <w:t xml:space="preserve">قاعده داده: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هیچ ماژولی کپی مستقل از مالکیت، سکونت، مانده یا قرارداد نگه نمی‌دارد. Read Model برای سرعت مجاز است، اما Source of Truth و Event Version باید مشخص باشد.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۹. مهاجرت و قابلیت همکاری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کوچ از اپلیکیشن‌های دیگر کم‌ریسک، قابل بازگشت و قابل اثبات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۹.۱ مسیرهای ورودی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016"/>
        <w:gridCol w:w="2376"/>
        <w:gridCol w:w="1656"/>
        <w:gridCol w:w="3312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منبع</w:t>
            </w:r>
          </w:p>
        </w:tc>
        <w:tc>
          <w:tcPr>
            <w:tcW w:type="dxa" w:w="237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روش</w:t>
            </w:r>
          </w:p>
        </w:tc>
        <w:tc>
          <w:tcPr>
            <w:tcW w:type="dxa" w:w="165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سطح اتوماسیون</w:t>
            </w:r>
          </w:p>
        </w:tc>
        <w:tc>
          <w:tcPr>
            <w:tcW w:type="dxa" w:w="331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کنترل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API/DB Export مجاز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Connector و staging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بالا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schema contract + reconciliation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Excel/CSV/XML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Mapping template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متوسط تا بالا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type، total، duplicate و owner review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PDF/Scan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OCR + Human Review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متوسط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confidence و سند اصل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دسترسی محدود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Opening balance + archive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پایین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scope declaration و sign-off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ایمیل/پوشه اسناد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Ingestion pipeline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متوسط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malware scan و classification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۹.۲ فرایند استاندارد مهاجرت</w:t>
      </w:r>
    </w:p>
    <w:p>
      <w:pPr>
        <w:spacing w:after="80" w:line="300" w:lineRule="auto"/>
        <w:jc w:val="right"/>
        <w:bidi w:val="1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12B"/>
          <w:sz w:val="21"/>
        </w:rPr>
        <w:t>Discovery و Authorization: مالک داده، مبنای انتقال، دامنه سال‌ها و خروجی مورد انتظار مکتوب شود.</w:t>
      </w:r>
    </w:p>
    <w:p>
      <w:pPr>
        <w:spacing w:after="80" w:line="300" w:lineRule="auto"/>
        <w:jc w:val="right"/>
        <w:bidi w:val="1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12B"/>
          <w:sz w:val="21"/>
        </w:rPr>
        <w:t>Extract to Staging: داده خام تغییرناپذیر با checksum و manifest نگهداری شود.</w:t>
      </w:r>
    </w:p>
    <w:p>
      <w:pPr>
        <w:spacing w:after="80" w:line="300" w:lineRule="auto"/>
        <w:jc w:val="right"/>
        <w:bidi w:val="1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12B"/>
          <w:sz w:val="21"/>
        </w:rPr>
        <w:t>Profile &amp; Map: ستون‌ها، کدها، واحدها، اشخاص، حساب‌ها و روابط نگاشت شوند.</w:t>
      </w:r>
    </w:p>
    <w:p>
      <w:pPr>
        <w:spacing w:after="80" w:line="300" w:lineRule="auto"/>
        <w:jc w:val="right"/>
        <w:bidi w:val="1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12B"/>
          <w:sz w:val="21"/>
        </w:rPr>
        <w:t>Clean &amp; Transform: encoding، تاریخ، currency، duplicate، شماره واحد و شناسه‌ها اصلاح شوند.</w:t>
      </w:r>
    </w:p>
    <w:p>
      <w:pPr>
        <w:spacing w:after="80" w:line="300" w:lineRule="auto"/>
        <w:jc w:val="right"/>
        <w:bidi w:val="1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12B"/>
          <w:sz w:val="21"/>
        </w:rPr>
        <w:t>Reconcile: تعداد رکورد، totals، مانده‌ها، documents و نمونه‌های واحد تطبیق شوند.</w:t>
      </w:r>
    </w:p>
    <w:p>
      <w:pPr>
        <w:spacing w:after="80" w:line="300" w:lineRule="auto"/>
        <w:jc w:val="right"/>
        <w:bidi w:val="1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12B"/>
          <w:sz w:val="21"/>
        </w:rPr>
        <w:t>Shadow Ledger: حداقل دو و ترجیحاً سه دوره بسته در CLADORA بازتولید و با سیستم قبلی مقایسه شود.</w:t>
      </w:r>
    </w:p>
    <w:p>
      <w:pPr>
        <w:spacing w:after="80" w:line="300" w:lineRule="auto"/>
        <w:jc w:val="right"/>
        <w:bidi w:val="1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12B"/>
          <w:sz w:val="21"/>
        </w:rPr>
        <w:t>Sign-off: مدیر، حسابدار/cenzor و مالک پروژه استثناها را تأیید کنند.</w:t>
      </w:r>
    </w:p>
    <w:p>
      <w:pPr>
        <w:spacing w:after="80" w:line="300" w:lineRule="auto"/>
        <w:jc w:val="right"/>
        <w:bidi w:val="1"/>
        <w:numPr>
          <w:ilvl w:val="0"/>
          <w:numId w:val="19"/>
        </w:numPr>
      </w:pPr>
      <w:r>
        <w:rPr>
          <w:rFonts w:ascii="DejaVu Sans" w:hAnsi="DejaVu Sans" w:cs="DejaVu Sans" w:eastAsia="DejaVu Sans"/>
          <w:color w:val="17212B"/>
          <w:sz w:val="21"/>
        </w:rPr>
        <w:t>Cutover &amp; Rollback: freeze، delta import، go/no-go، نسخه پشتیبان و پنجره بازگشت تعریف شود.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۹.۳ معیار خروج مهاجرت</w:t>
      </w:r>
    </w:p>
    <w:p>
      <w:pPr>
        <w:spacing w:after="80" w:line="300" w:lineRule="auto"/>
        <w:jc w:val="right"/>
        <w:bidi w:val="1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12B"/>
          <w:sz w:val="21"/>
        </w:rPr>
        <w:t>اختلاف بدهکار/بستانکار صفر؛ اختلاف مانده واحد فقط با Exception ID و تأیید.</w:t>
      </w:r>
    </w:p>
    <w:p>
      <w:pPr>
        <w:spacing w:after="80" w:line="300" w:lineRule="auto"/>
        <w:jc w:val="right"/>
        <w:bidi w:val="1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12B"/>
          <w:sz w:val="21"/>
        </w:rPr>
        <w:t>۱۰۰٪ واحدهای فعال، مالکیت جاری و مانده افتتاحیه دارای mapping و owner هستند.</w:t>
      </w:r>
    </w:p>
    <w:p>
      <w:pPr>
        <w:spacing w:after="80" w:line="300" w:lineRule="auto"/>
        <w:jc w:val="right"/>
        <w:bidi w:val="1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12B"/>
          <w:sz w:val="21"/>
        </w:rPr>
        <w:t>حداقل ۹۵٪ اسناد در Scope دارای لینک فایل یا reference archive باشند.</w:t>
      </w:r>
    </w:p>
    <w:p>
      <w:pPr>
        <w:spacing w:after="80" w:line="300" w:lineRule="auto"/>
        <w:jc w:val="right"/>
        <w:bidi w:val="1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12B"/>
          <w:sz w:val="21"/>
        </w:rPr>
        <w:t>هیچ دسترسی با bypass غیرمجاز، scraping ممنوع یا credential مشترک ایجاد نشود.</w:t>
      </w:r>
    </w:p>
    <w:p>
      <w:pPr>
        <w:spacing w:after="80" w:line="300" w:lineRule="auto"/>
        <w:jc w:val="right"/>
        <w:bidi w:val="1"/>
        <w:numPr>
          <w:ilvl w:val="0"/>
          <w:numId w:val="20"/>
        </w:numPr>
      </w:pPr>
      <w:r>
        <w:rPr>
          <w:rFonts w:ascii="DejaVu Sans" w:hAnsi="DejaVu Sans" w:cs="DejaVu Sans" w:eastAsia="DejaVu Sans"/>
          <w:color w:val="17212B"/>
          <w:sz w:val="21"/>
        </w:rPr>
        <w:t>Export مشتری و Data Portability پیش از Cutover آزمایش شود.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۱۰. هوش هزینه، صرفه‌جویی و ارزش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داده مالی به فرصت قابل اجرا و نتیجه قابل اثبات تبدیل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۱۰.۱ پنج موتور تحلیل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232"/>
        <w:gridCol w:w="3456"/>
        <w:gridCol w:w="3672"/>
      </w:tblGrid>
      <w:tr>
        <w:trPr>
          <w:tblHeader w:val="true"/>
          <w:cantSplit/>
        </w:trPr>
        <w:tc>
          <w:tcPr>
            <w:tcW w:type="dxa" w:w="223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موتور</w:t>
            </w:r>
          </w:p>
        </w:tc>
        <w:tc>
          <w:tcPr>
            <w:tcW w:type="dxa" w:w="3456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ورودی</w:t>
            </w:r>
          </w:p>
        </w:tc>
        <w:tc>
          <w:tcPr>
            <w:tcW w:type="dxa" w:w="367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خروجی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Cost Analysis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GL، invoice، قرارداد، unit/area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هزینه واحد/متر، روند، anomaly و benchmark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Consumption &amp; Variance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reading، tariff، weather/season، occupancy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مصرف تعدیل‌شده و علت‌های محتمل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Contract Intelligence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قرارداد، invoice، SLA، market quote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هزینه واقعی، expiry، leakage و negotiation action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Maintenance Prediction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asset، failure، cost، downtime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repair/maintain/replace scenarios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Capital &amp; Value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condition، reserve، project، energy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برنامه ۵ساله و Building Value Readiness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۱۰.۲ استاندارد هر Opportunity</w:t>
      </w:r>
    </w:p>
    <w:p>
      <w:pPr>
        <w:spacing w:after="80" w:line="300" w:lineRule="auto"/>
        <w:jc w:val="right"/>
        <w:bidi w:val="1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12B"/>
          <w:sz w:val="21"/>
        </w:rPr>
        <w:t>مشکل و شواهد؛ هزینه فعلی و baseline؛ علت‌های احتمالی؛ اقدام پیشنهادی؛ مالک اقدام.</w:t>
      </w:r>
    </w:p>
    <w:p>
      <w:pPr>
        <w:spacing w:after="80" w:line="300" w:lineRule="auto"/>
        <w:jc w:val="right"/>
        <w:bidi w:val="1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12B"/>
          <w:sz w:val="21"/>
        </w:rPr>
        <w:t>هزینه اجرا، صرفه‌جویی سالانه، دوره بازگشت، ضریب اطمینان، ریسک و نیاز به رأی/متخصص.</w:t>
      </w:r>
    </w:p>
    <w:p>
      <w:pPr>
        <w:spacing w:after="80" w:line="300" w:lineRule="auto"/>
        <w:jc w:val="right"/>
        <w:bidi w:val="1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12B"/>
          <w:sz w:val="21"/>
        </w:rPr>
        <w:t>طرح اندازه‌گیری پس از اجرا: متغیرهای تعدیل، تاریخ شروع، منبع داده و روش تأیید.</w:t>
      </w:r>
    </w:p>
    <w:p>
      <w:pPr>
        <w:spacing w:after="80" w:line="300" w:lineRule="auto"/>
        <w:jc w:val="right"/>
        <w:bidi w:val="1"/>
        <w:numPr>
          <w:ilvl w:val="0"/>
          <w:numId w:val="21"/>
        </w:numPr>
      </w:pPr>
      <w:r>
        <w:rPr>
          <w:rFonts w:ascii="DejaVu Sans" w:hAnsi="DejaVu Sans" w:cs="DejaVu Sans" w:eastAsia="DejaVu Sans"/>
          <w:color w:val="17212B"/>
          <w:sz w:val="21"/>
        </w:rPr>
        <w:t>وضعیت چرخه عمر: Detected، Reviewed، Approved، Implemented، Measuring، Verified یا Rejected.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فرمول پایه: صرفه‌جویی ناخالص = هزینه تعدیل‌شده مورد انتظار − هزینه واقعی بعد از اقدام. صرفه‌جویی خالص پس از کسر هزینه اجرا، نگهداری جدید و اثرات جانبی گزارش می‌شود. نسخه فرمول و داده‌های تعدیل باید در Verified Savings Ledger باقی بماند.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7A5A00"/>
          <w:left w:val="single" w:sz="9" w:space="0" w:color="7A5A00"/>
          <w:bottom w:val="single" w:sz="9" w:space="0" w:color="7A5A00"/>
          <w:right w:val="single" w:sz="9" w:space="0" w:color="7A5A00"/>
          <w:insideH w:val="single" w:sz="9" w:space="0" w:color="7A5A00"/>
          <w:insideV w:val="single" w:sz="9" w:space="0" w:color="7A5A00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7A5A00"/>
                <w:sz w:val="20"/>
              </w:rPr>
              <w:t xml:space="preserve">شروع واقع‌بینانه: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Rule Library با ۳۰ تا ۵۰ قانون شفاف برای آب، برق مشاعات، آسانسور، نظافت و تعمیرات اضطراری آغاز شود. Benchmark واقعی فقط پس از حجم نمونه کافی و گروه‌بندی هم‌رده منتشر گردد.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۱۱. مدل تحویل پروژه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چارچوب Agile با کنترل مالی، حقوقی و مهاجرتی ترکیب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۱۱.۱ ساختار کار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016"/>
        <w:gridCol w:w="7344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سطح</w:t>
            </w:r>
          </w:p>
        </w:tc>
        <w:tc>
          <w:tcPr>
            <w:tcW w:type="dxa" w:w="73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قاعده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Outcome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نتیجه کسب‌وکاری قابل اندازه‌گیری؛ صاحب Outcome مشخص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Capability</w:t>
            </w:r>
          </w:p>
        </w:tc>
        <w:tc>
          <w:tcPr>
            <w:tcW w:type="dxa" w:w="73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توانایی پایدار مانند Month Close یا Meter Verification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Epic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بسته تحویلی ۲ تا ۸ Sprint با معیار پذیرش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Story</w:t>
            </w:r>
          </w:p>
        </w:tc>
        <w:tc>
          <w:tcPr>
            <w:tcW w:type="dxa" w:w="73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ارزش کاربر در یک Sprint؛ Requirement ID و Test link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Task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فعالیت فنی/عملیاتی کوتاه با owner و estimate</w:t>
            </w:r>
          </w:p>
        </w:tc>
      </w:tr>
      <w:tr>
        <w:trPr>
          <w:cantSplit/>
        </w:trP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Defect/Risk/Decision</w:t>
            </w:r>
          </w:p>
        </w:tc>
        <w:tc>
          <w:tcPr>
            <w:tcW w:type="dxa" w:w="73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نوع کار مستقل؛ در Story پنهان نشود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۱۱.۲ ریتم اجرایی</w:t>
      </w:r>
    </w:p>
    <w:p>
      <w:pPr>
        <w:spacing w:after="80" w:line="300" w:lineRule="auto"/>
        <w:jc w:val="right"/>
        <w:bidi w:val="1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12B"/>
          <w:sz w:val="21"/>
        </w:rPr>
        <w:t>Sprint دو هفته‌ای؛ Planning، Daily، Backlog Refinement، Demo و Retrospective.</w:t>
      </w:r>
    </w:p>
    <w:p>
      <w:pPr>
        <w:spacing w:after="80" w:line="300" w:lineRule="auto"/>
        <w:jc w:val="right"/>
        <w:bidi w:val="1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12B"/>
          <w:sz w:val="21"/>
        </w:rPr>
        <w:t>Product Trio هفتگی: Product، Design و Tech برای Discovery/Delivery.</w:t>
      </w:r>
    </w:p>
    <w:p>
      <w:pPr>
        <w:spacing w:after="80" w:line="300" w:lineRule="auto"/>
        <w:jc w:val="right"/>
        <w:bidi w:val="1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12B"/>
          <w:sz w:val="21"/>
        </w:rPr>
        <w:t>Finance/Legal/Data Clinic هفتگی برای قواعد و تصمیم‌های دامنه.</w:t>
      </w:r>
    </w:p>
    <w:p>
      <w:pPr>
        <w:spacing w:after="80" w:line="300" w:lineRule="auto"/>
        <w:jc w:val="right"/>
        <w:bidi w:val="1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12B"/>
          <w:sz w:val="21"/>
        </w:rPr>
        <w:t>Program Review دو‌هفته‌ای برای زمان، Scope، dependency، risk و budget.</w:t>
      </w:r>
    </w:p>
    <w:p>
      <w:pPr>
        <w:spacing w:after="80" w:line="300" w:lineRule="auto"/>
        <w:jc w:val="right"/>
        <w:bidi w:val="1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12B"/>
          <w:sz w:val="21"/>
        </w:rPr>
        <w:t>Steering Committee ماهانه و در هر Stage Gate.</w:t>
      </w:r>
    </w:p>
    <w:p>
      <w:pPr>
        <w:spacing w:after="80" w:line="300" w:lineRule="auto"/>
        <w:jc w:val="right"/>
        <w:bidi w:val="1"/>
        <w:numPr>
          <w:ilvl w:val="0"/>
          <w:numId w:val="22"/>
        </w:numPr>
      </w:pPr>
      <w:r>
        <w:rPr>
          <w:rFonts w:ascii="DejaVu Sans" w:hAnsi="DejaVu Sans" w:cs="DejaVu Sans" w:eastAsia="DejaVu Sans"/>
          <w:color w:val="17212B"/>
          <w:sz w:val="21"/>
        </w:rPr>
        <w:t>Release Train هر چهار هفته برای محیط UAT؛ انتشار Production تحت Release Checklist.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۱۱.۳ Definition of Ready</w:t>
      </w:r>
    </w:p>
    <w:p>
      <w:pPr>
        <w:spacing w:after="80" w:line="300" w:lineRule="auto"/>
        <w:jc w:val="right"/>
        <w:bidi w:val="1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12B"/>
          <w:sz w:val="21"/>
        </w:rPr>
        <w:t>Persona، مشکل، Outcome و Requirement ID روشن است.</w:t>
      </w:r>
    </w:p>
    <w:p>
      <w:pPr>
        <w:spacing w:after="80" w:line="300" w:lineRule="auto"/>
        <w:jc w:val="right"/>
        <w:bidi w:val="1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12B"/>
          <w:sz w:val="21"/>
        </w:rPr>
        <w:t>قانون مالی/حقوقی یا فرض مورد استفاده ثبت و صاحب تأیید مشخص است.</w:t>
      </w:r>
    </w:p>
    <w:p>
      <w:pPr>
        <w:spacing w:after="80" w:line="300" w:lineRule="auto"/>
        <w:jc w:val="right"/>
        <w:bidi w:val="1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12B"/>
          <w:sz w:val="21"/>
        </w:rPr>
        <w:t>Acceptance Criteria قابل تست، داده نمونه و حالت‌های خطا نوشته شده‌اند.</w:t>
      </w:r>
    </w:p>
    <w:p>
      <w:pPr>
        <w:spacing w:after="80" w:line="300" w:lineRule="auto"/>
        <w:jc w:val="right"/>
        <w:bidi w:val="1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12B"/>
          <w:sz w:val="21"/>
        </w:rPr>
        <w:t>Dependency، privacy class، audit needs و migration impact بررسی شده‌اند.</w:t>
      </w:r>
    </w:p>
    <w:p>
      <w:pPr>
        <w:spacing w:after="80" w:line="300" w:lineRule="auto"/>
        <w:jc w:val="right"/>
        <w:bidi w:val="1"/>
        <w:numPr>
          <w:ilvl w:val="0"/>
          <w:numId w:val="23"/>
        </w:numPr>
      </w:pPr>
      <w:r>
        <w:rPr>
          <w:rFonts w:ascii="DejaVu Sans" w:hAnsi="DejaVu Sans" w:cs="DejaVu Sans" w:eastAsia="DejaVu Sans"/>
          <w:color w:val="17212B"/>
          <w:sz w:val="21"/>
        </w:rPr>
        <w:t>طرح UX یا قرارداد API برای کار وابسته آماده است.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۱۱.۴ Definition of Done</w:t>
      </w:r>
    </w:p>
    <w:p>
      <w:pPr>
        <w:spacing w:after="80" w:line="300" w:lineRule="auto"/>
        <w:jc w:val="right"/>
        <w:bidi w:val="1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12B"/>
          <w:sz w:val="21"/>
        </w:rPr>
        <w:t>کد review و CI سبز؛ unit/integration/e2e لازم گذرانده شده است.</w:t>
      </w:r>
    </w:p>
    <w:p>
      <w:pPr>
        <w:spacing w:after="80" w:line="300" w:lineRule="auto"/>
        <w:jc w:val="right"/>
        <w:bidi w:val="1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12B"/>
          <w:sz w:val="21"/>
        </w:rPr>
        <w:t>امنیت، دسترسی، audit، telemetry و error handling مطابق NFR پیاده شده‌اند.</w:t>
      </w:r>
    </w:p>
    <w:p>
      <w:pPr>
        <w:spacing w:after="80" w:line="300" w:lineRule="auto"/>
        <w:jc w:val="right"/>
        <w:bidi w:val="1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12B"/>
          <w:sz w:val="21"/>
        </w:rPr>
        <w:t>مستند کاربر، runbook، data dictionary و API/ADR در صورت اثر به‌روزرسانی شده‌اند.</w:t>
      </w:r>
    </w:p>
    <w:p>
      <w:pPr>
        <w:spacing w:after="80" w:line="300" w:lineRule="auto"/>
        <w:jc w:val="right"/>
        <w:bidi w:val="1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12B"/>
          <w:sz w:val="21"/>
        </w:rPr>
        <w:t>Test evidence و acceptance owner ثبت شده؛ defect بحرانی باز وجود ندارد.</w:t>
      </w:r>
    </w:p>
    <w:p>
      <w:pPr>
        <w:spacing w:after="80" w:line="300" w:lineRule="auto"/>
        <w:jc w:val="right"/>
        <w:bidi w:val="1"/>
        <w:numPr>
          <w:ilvl w:val="0"/>
          <w:numId w:val="24"/>
        </w:numPr>
      </w:pPr>
      <w:r>
        <w:rPr>
          <w:rFonts w:ascii="DejaVu Sans" w:hAnsi="DejaVu Sans" w:cs="DejaVu Sans" w:eastAsia="DejaVu Sans"/>
          <w:color w:val="17212B"/>
          <w:sz w:val="21"/>
        </w:rPr>
        <w:t>Feature flag، migration/rollback و monitoring آماده؛ demo به ذی‌نفع انجام شده است.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۱۲. WBS و بسته‌های کاری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هر دامنه به خروجی، مالک، وابستگی و معیار پایان تبدیل شود.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792"/>
        <w:gridCol w:w="2088"/>
        <w:gridCol w:w="1512"/>
        <w:gridCol w:w="3096"/>
        <w:gridCol w:w="1080"/>
        <w:gridCol w:w="792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کد</w:t>
            </w:r>
          </w:p>
        </w:tc>
        <w:tc>
          <w:tcPr>
            <w:tcW w:type="dxa" w:w="208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بسته</w:t>
            </w:r>
          </w:p>
        </w:tc>
        <w:tc>
          <w:tcPr>
            <w:tcW w:type="dxa" w:w="151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مالک</w:t>
            </w:r>
          </w:p>
        </w:tc>
        <w:tc>
          <w:tcPr>
            <w:tcW w:type="dxa" w:w="309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تحویل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وابستگی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گیت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Mobilization &amp; Discovery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Program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Charter، research، legal map، pilot LOI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—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G0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WP01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Platform Foundation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Tech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tenanting، identity، audit، config، CI/CD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WP00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G1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Financial Core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Finance Product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COA، journal، period، documents، reports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G2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WP03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Allocation &amp; Rights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Product/Finance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charge rules، owner/tenant split، disputes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WP02, WP06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G2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Treasury &amp; AR/AP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Finance Product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bank، payment، reconciliation، aging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G3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WP05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Compliance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Legal/Finance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calendar، evidence، tax/workforce adapters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WP01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G3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Property/People/Occupancy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Product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property graph، ownership، lease، access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G2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WP07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Building DNA &amp; Meters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Engineering Product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archetype، assets، meters، readings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WP06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G3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WP08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Maintenance &amp; Safety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Operations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ticket، work order، PM، inspections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G3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WP09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Contracts &amp; Vendors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Procurement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contract، bids، SLA، insurance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WP02, WP08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G3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Communication &amp; Governance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Product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message، vote، resolution، delivery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G3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WP11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Amenities &amp; Community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Product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booking، access، parking، rules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WP06, WP08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G4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Intelligence &amp; Savings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Data/Product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rules، benchmark، opportunity، ledger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WP02, WP07-09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G4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WP13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Capital &amp; Value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Product/Engineering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reserve plan، scenarios، value report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WP12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G4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Portfolio &amp; Rental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Product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multi-property، cash flow، landlord workspace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WP03, WP06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G4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WP15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Migration &amp; Integrations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Migration Lead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connectors، mapper، shadow، export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WP01-03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G2-G4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Security/Privacy/Reliability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CISO/DPO/DevOps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controls، DPIA، DR، observability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Cross-cutting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All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WP17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QA/UAT/Pilot/Launch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QA/CS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test، training، pilot، support، launch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All</w:t>
            </w:r>
          </w:p>
        </w:tc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G3-G5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۱۲.۱ معیار پایان بسته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هر WP زمانی بسته می‌شود که Deliverable، Acceptance Evidence، Owner Sign-off، Runbook، Migration Impact، Open Risk و انتقال به عملیات ثبت شده باشند. «کد کامل شد» به تنهایی پایان بسته نیست.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۱۳. نقشه راه و Stage Gates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مسیر تحویل مرحله‌بندی و تصمیم توقف/ادامه شفاف شود.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648"/>
        <w:gridCol w:w="1368"/>
        <w:gridCol w:w="2088"/>
        <w:gridCol w:w="3960"/>
        <w:gridCol w:w="1296"/>
      </w:tblGrid>
      <w:tr>
        <w:trPr>
          <w:tblHeader w:val="true"/>
          <w:cantSplit/>
        </w:trPr>
        <w:tc>
          <w:tcPr>
            <w:tcW w:type="dxa" w:w="64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فاز</w:t>
            </w:r>
          </w:p>
        </w:tc>
        <w:tc>
          <w:tcPr>
            <w:tcW w:type="dxa" w:w="136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زمان</w:t>
            </w:r>
          </w:p>
        </w:tc>
        <w:tc>
          <w:tcPr>
            <w:tcW w:type="dxa" w:w="208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تم</w:t>
            </w:r>
          </w:p>
        </w:tc>
        <w:tc>
          <w:tcPr>
            <w:tcW w:type="dxa" w:w="3960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خروجی</w:t>
            </w:r>
          </w:p>
        </w:tc>
        <w:tc>
          <w:tcPr>
            <w:tcW w:type="dxa" w:w="1296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گیت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هفته ۱–۶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Mobilize &amp; Validate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Charter، ۳۰ مصاحبه، legal/accounting map، prototype، ۵ pilot LOI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G0: مسئله/بازار/مرز حقوقی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هفته ۷–۱۶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Foundation &amp; Financial Alpha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platform trust، property graph، ledger، document، migration staging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G1/G2: معماری و صحت مالی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هفته ۱۷–۲۸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Rights &amp; Resident Beta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allocation، owner/tenant، meters، communication، portfolio basic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G3: End-to-end beta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P3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هفته ۲۹–۴۰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Operations &amp; Controlled Pilot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maintenance، contracts، governance، ۵ building live، shadow close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G4: Pilot exit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هفته ۴۱–۵۶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Intelligence &amp; Commercial V1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rules، savings، capital، scale، security audit، launch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G5: Commercial go-live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P5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هفته ۵۷–۷۲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Scale &amp; Extensions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management company scale، APIs، country pack framework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G6: Scale readiness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۱۳.۱ تعریف گیت‌ها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008"/>
        <w:gridCol w:w="6120"/>
        <w:gridCol w:w="2232"/>
      </w:tblGrid>
      <w:tr>
        <w:trPr>
          <w:tblHeader w:val="true"/>
          <w:cantSplit/>
        </w:trPr>
        <w:tc>
          <w:tcPr>
            <w:tcW w:type="dxa" w:w="100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گیت</w:t>
            </w:r>
          </w:p>
        </w:tc>
        <w:tc>
          <w:tcPr>
            <w:tcW w:type="dxa" w:w="61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شرط Go</w:t>
            </w:r>
          </w:p>
        </w:tc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مالک تصمیم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G0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Problem/Solution evidence، Pilot LOI، legal red flags قابل مدیریت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Founder + Product</w:t>
            </w:r>
          </w:p>
        </w:tc>
      </w:tr>
      <w:tr>
        <w:trPr>
          <w:cantSplit/>
        </w:trPr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G1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Architecture، threat model، data model و NFR baseline تصویب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Tech + Security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G2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Financial invariants، sample close و migration reconciliation پاس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 + QA</w:t>
            </w:r>
          </w:p>
        </w:tc>
      </w:tr>
      <w:tr>
        <w:trPr>
          <w:cantSplit/>
        </w:trPr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G3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جریان invoice-to-charge-to-payment و owner/tenant rights در UAT پاس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Product + Pilot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G4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حداقل دو close واقعی، adoption، support و no P0 defect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Steering</w:t>
            </w:r>
          </w:p>
        </w:tc>
      </w:tr>
      <w:tr>
        <w:trPr>
          <w:cantSplit/>
        </w:trPr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G5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Pen test، DR test، support readiness، contracts و KPI exit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Founder + Legal + Tech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G6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multi-tenant scale، unit economics و country pack governance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Board/Steering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7A5A00"/>
          <w:left w:val="single" w:sz="9" w:space="0" w:color="7A5A00"/>
          <w:bottom w:val="single" w:sz="9" w:space="0" w:color="7A5A00"/>
          <w:right w:val="single" w:sz="9" w:space="0" w:color="7A5A00"/>
          <w:insideH w:val="single" w:sz="9" w:space="0" w:color="7A5A00"/>
          <w:insideV w:val="single" w:sz="9" w:space="0" w:color="7A5A00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7A5A00"/>
                <w:sz w:val="20"/>
              </w:rPr>
              <w:t xml:space="preserve">قاعده زمان: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تاریخ‌ها Target هستند؛ Scope ثابت و ظرفیت ثابت هم‌زمان قابل تضمین نیستند. هر تغییر پس از Baseline باید اثر بر زمان، هزینه، ریسک، مهاجرت و کیفیت را در Change Request نشان دهد.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۱۴. تیم، نقش‌ها و RACI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مالک هر تصمیم و تفکیک وظایف روشن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۱۴.۱ تیم استاندارد پیشنهادی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952"/>
        <w:gridCol w:w="936"/>
        <w:gridCol w:w="5472"/>
      </w:tblGrid>
      <w:tr>
        <w:trPr>
          <w:tblHeader w:val="true"/>
          <w:cantSplit/>
        </w:trPr>
        <w:tc>
          <w:tcPr>
            <w:tcW w:type="dxa" w:w="295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نقش</w:t>
            </w:r>
          </w:p>
        </w:tc>
        <w:tc>
          <w:tcPr>
            <w:tcW w:type="dxa" w:w="936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FTE</w:t>
            </w:r>
          </w:p>
        </w:tc>
        <w:tc>
          <w:tcPr>
            <w:tcW w:type="dxa" w:w="547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مسئولیت اصلی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Founder/Sponsor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۰.۵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بودجه، بازار، شریک و تصمیم گیت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Program Manager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۱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Baseline، dependency، risk، reporting و change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Product Lead/PO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۱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Outcome، backlog، scope و پذیرش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Product Managers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۲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Finance/Association و Portfolio/Operations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UX/UI + Research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۲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Discovery، design system، accessibility و UAT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Tech Lead/Architect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۱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architecture، ADR، quality و integration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Backend Engineers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۴–۵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domain services، ledger، workflow، APIs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Frontend/PWA/Mobile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۳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manager portal، owner/resident، offline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Data/AI Engineer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۱–۲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ingestion، rules، OCR، analytics و eval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QA Automation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۲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test strategy، automation، evidence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DevOps/SRE/Security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۱–۲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CI/CD، cloud، observability، DR، security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Finance/Accounting SME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۱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Romanian accounting، allocation و close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Legal/DPO Counsel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۰.۵–۱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laws، DPIA، contracts، retention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Building/Energy SME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۰.۵–۱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engineering rules و expert network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Migration/Implementation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۲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data import، onboarding و cutover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Customer Success/Support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۲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pilot، training، SLA و feedback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۱۴.۲ RACI تصمیم‌های کلیدی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3024"/>
        <w:gridCol w:w="1440"/>
        <w:gridCol w:w="1728"/>
        <w:gridCol w:w="2016"/>
        <w:gridCol w:w="1152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تصمیم/خروجی</w:t>
            </w:r>
          </w:p>
        </w:tc>
        <w:tc>
          <w:tcPr>
            <w:tcW w:type="dxa" w:w="14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172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R</w:t>
            </w:r>
          </w:p>
        </w:tc>
        <w:tc>
          <w:tcPr>
            <w:tcW w:type="dxa" w:w="20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C</w:t>
            </w:r>
          </w:p>
        </w:tc>
        <w:tc>
          <w:tcPr>
            <w:tcW w:type="dxa" w:w="115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Product scope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Sponsor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PO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Tech/Finance/CS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Team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Financial rules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 SME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PM Finance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Legal/QA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PO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Rights/access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DPO/PO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PM Platform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Legal/Security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CS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Architecture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Tech Lead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Engineering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Security/Data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PO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 sign-off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Customer owner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 Lead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Finance/QA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Steering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Pilot go-live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Steering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Program/CS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Tech/Legal/QA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Pilot users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Incident P0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Tech/Security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Incident Commander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Legal/CS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Sponsor</w:t>
            </w:r>
          </w:p>
        </w:tc>
      </w:tr>
      <w:tr>
        <w:trPr>
          <w:cantSplit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Commercial launch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Sponsor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Program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All leads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Company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۱۵. برنامه ۹۰ روز اول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پروژه از ایده جامع به Baseline قابل ساخت برسد.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296"/>
        <w:gridCol w:w="2088"/>
        <w:gridCol w:w="4824"/>
        <w:gridCol w:w="1152"/>
      </w:tblGrid>
      <w:tr>
        <w:trPr>
          <w:tblHeader w:val="true"/>
          <w:cantSplit/>
        </w:trPr>
        <w:tc>
          <w:tcPr>
            <w:tcW w:type="dxa" w:w="1296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زمان</w:t>
            </w:r>
          </w:p>
        </w:tc>
        <w:tc>
          <w:tcPr>
            <w:tcW w:type="dxa" w:w="208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تمرکز</w:t>
            </w:r>
          </w:p>
        </w:tc>
        <w:tc>
          <w:tcPr>
            <w:tcW w:type="dxa" w:w="4824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تحویل قابل مشاهده</w:t>
            </w:r>
          </w:p>
        </w:tc>
        <w:tc>
          <w:tcPr>
            <w:tcW w:type="dxa" w:w="115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نقطه کنترل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هفته ۱–۲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Mobilize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Charter، decision log، role map، competitor validation plan، pilot criteria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G0 readiness 25%</w:t>
            </w:r>
          </w:p>
        </w:tc>
      </w:tr>
      <w:tr>
        <w:trPr>
          <w:cantSplit/>
        </w:trP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هفته ۳–۴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Domain discovery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مصاحبه مدیر/مالک/مستأجر، financial close walkthrough، legal questions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Problem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هفته ۵–۶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Prototype &amp; architecture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۵ flow prototype، domain map، NFR، threat model، data classification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G0/G1 candidate</w:t>
            </w:r>
          </w:p>
        </w:tc>
      </w:tr>
      <w:tr>
        <w:trPr>
          <w:cantSplit/>
        </w:trP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هفته ۷–۸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Platform skeleton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repo، CI/CD، tenanting، identity، audit، property graph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Dev alpha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هفته ۹–۱۰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Financial slice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document → journal → period → report، test fixtures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Ledger demo</w:t>
            </w:r>
          </w:p>
        </w:tc>
      </w:tr>
      <w:tr>
        <w:trPr>
          <w:cantSplit/>
        </w:trP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هفته ۱۱–۱۲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Rights &amp; migration slice</w:t>
            </w:r>
          </w:p>
        </w:tc>
        <w:tc>
          <w:tcPr>
            <w:tcW w:type="dxa" w:w="48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ownership/occupancy، sample allocation، CSV import، reconciliation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E2E demo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هفته ۱۳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Review &amp; rebaseline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architecture review، budget، roadmap، pilot contract، backlog next 12 weeks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G1 decision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۱۵.۱ ۲۴ اقدام روز شروع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Sponsor، Program Manager، Product Owner و مسئول Decision Log منصوب شوند.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مالکیت نام CLADORA، علامت تجاری، دامنه و ریسک زبانی در رومانی بررسی شود.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۵ انجمن/ساختمان، ۲۰ مالک چندملکی و ۲ شرکت مدیریت برای research/pilot shortlist شوند.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Finance SME یک Close واقعی، Chart of Accounts و نمونه تخصیص را anonymize کند.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Legal/DPO پرسش‌نامه مالک/مستأجر، notice، debt display، CCTV/access و retention را باز کند.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Tech Lead ADR-001 تا ADR-010 و NFR baseline را صاحب‌دار کند.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Data Lead canonical model و data dictionary skeleton را ایجاد کند.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Migration Lead پنج export نمونه Excel/PDF/API را جمع‌آوری و طبقه‌بندی کند.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Design پنج جریان invoice، charge، tenant view، meter photo و work order را prototype کند.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QA financial invariants و synthetic fixtures را قبل از implementation بنویسد.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Security threat model و data classification را شروع کند.</w:t>
      </w:r>
    </w:p>
    <w:p>
      <w:pPr>
        <w:spacing w:after="80" w:line="300" w:lineRule="auto"/>
        <w:jc w:val="right"/>
        <w:bidi w:val="1"/>
        <w:numPr>
          <w:ilvl w:val="0"/>
          <w:numId w:val="25"/>
        </w:numPr>
      </w:pPr>
      <w:r>
        <w:rPr>
          <w:rFonts w:ascii="DejaVu Sans" w:hAnsi="DejaVu Sans" w:cs="DejaVu Sans" w:eastAsia="DejaVu Sans"/>
          <w:color w:val="17212B"/>
          <w:sz w:val="21"/>
        </w:rPr>
        <w:t>Program RAID، RACI، release calendar و weekly report template را منتشر کند.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۱۶. کیفیت، آزمون و معیار پذیرش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محصول مالی و حقوق‌محور با شواهد آزمون منتشر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۱۶.۱ لایه‌های آزمون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232"/>
        <w:gridCol w:w="5256"/>
        <w:gridCol w:w="1872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لایه</w:t>
            </w:r>
          </w:p>
        </w:tc>
        <w:tc>
          <w:tcPr>
            <w:tcW w:type="dxa" w:w="525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دامنه</w:t>
            </w:r>
          </w:p>
        </w:tc>
        <w:tc>
          <w:tcPr>
            <w:tcW w:type="dxa" w:w="187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گیت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Unit/Property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محاسبات، rules، permissions، invariants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PR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Integration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DB، queue، storage، bank/meter adapters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CI main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Contract/API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consumer/provider schemas و backward compatibility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release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Financial Golden Tests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allocation، journal، close، correction و edge cases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G2/G3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 Reconciliation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counts، totals، balances، documents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customer cutover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E2E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invoice-to-report، tenant-to-payment، ticket-to-cost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release candidate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Security/Privacy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SAST/DAST، pentest، access matrix، data leakage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G4/G5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Performance/Resilience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month close، mass billing، notification، failover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G5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UAT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manager، owner، tenant، cenzor، technician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pilot/launch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Accessibility/Localization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RTL docs، Romanian UI، WCAG target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release candidate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۱۶.۲ سناریوهای پذیرش حیاتی</w:t>
      </w:r>
    </w:p>
    <w:p>
      <w:pPr>
        <w:spacing w:after="80" w:line="300" w:lineRule="auto"/>
        <w:jc w:val="right"/>
        <w:bidi w:val="1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12B"/>
          <w:sz w:val="21"/>
        </w:rPr>
        <w:t>مالک جدید در میانه ماه ثبت می‌شود؛ هزینه پیش و پس از Effective Date طبق Rule Version درست تفکیک می‌شود.</w:t>
      </w:r>
    </w:p>
    <w:p>
      <w:pPr>
        <w:spacing w:after="80" w:line="300" w:lineRule="auto"/>
        <w:jc w:val="right"/>
        <w:bidi w:val="1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12B"/>
          <w:sz w:val="21"/>
        </w:rPr>
        <w:t>مستأجر پرداخت‌کننده است اما بدهکار قانونی مالک؛ هر دو view درست و بدون افشای داده زائد دریافت می‌کنند.</w:t>
      </w:r>
    </w:p>
    <w:p>
      <w:pPr>
        <w:spacing w:after="80" w:line="300" w:lineRule="auto"/>
        <w:jc w:val="right"/>
        <w:bidi w:val="1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12B"/>
          <w:sz w:val="21"/>
        </w:rPr>
        <w:t>واحد خالی، Airbnb، شرکت و سکونت چندنفره در allocation driver رفتار تعریف‌شده دارند.</w:t>
      </w:r>
    </w:p>
    <w:p>
      <w:pPr>
        <w:spacing w:after="80" w:line="300" w:lineRule="auto"/>
        <w:jc w:val="right"/>
        <w:bidi w:val="1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12B"/>
          <w:sz w:val="21"/>
        </w:rPr>
        <w:t>invoice تکراری تشخیص داده می‌شود و تا رفع exception وارد پرداخت یا allocation نمی‌شود.</w:t>
      </w:r>
    </w:p>
    <w:p>
      <w:pPr>
        <w:spacing w:after="80" w:line="300" w:lineRule="auto"/>
        <w:jc w:val="right"/>
        <w:bidi w:val="1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12B"/>
          <w:sz w:val="21"/>
        </w:rPr>
        <w:t>قرائت کنتور کمتر از قبلی، تعویض کنتور، rollover و correction هرکدام مسیر کنترل‌شده دارند.</w:t>
      </w:r>
    </w:p>
    <w:p>
      <w:pPr>
        <w:spacing w:after="80" w:line="300" w:lineRule="auto"/>
        <w:jc w:val="right"/>
        <w:bidi w:val="1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12B"/>
          <w:sz w:val="21"/>
        </w:rPr>
        <w:t>مصوبه سرمایه‌ای Budget Commitment می‌سازد و مستأجر بدون حق رأی فقط اثر عملیاتی را می‌بیند.</w:t>
      </w:r>
    </w:p>
    <w:p>
      <w:pPr>
        <w:spacing w:after="80" w:line="300" w:lineRule="auto"/>
        <w:jc w:val="right"/>
        <w:bidi w:val="1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12B"/>
          <w:sz w:val="21"/>
        </w:rPr>
        <w:t>Shadow Ledger دو ماه را با مانده و سند قبلی تطبیق می‌دهد؛ rollback قابل اجراست.</w:t>
      </w:r>
    </w:p>
    <w:p>
      <w:pPr>
        <w:spacing w:after="80" w:line="300" w:lineRule="auto"/>
        <w:jc w:val="right"/>
        <w:bidi w:val="1"/>
        <w:numPr>
          <w:ilvl w:val="0"/>
          <w:numId w:val="26"/>
        </w:numPr>
      </w:pPr>
      <w:r>
        <w:rPr>
          <w:rFonts w:ascii="DejaVu Sans" w:hAnsi="DejaVu Sans" w:cs="DejaVu Sans" w:eastAsia="DejaVu Sans"/>
          <w:color w:val="17212B"/>
          <w:sz w:val="21"/>
        </w:rPr>
        <w:t>پیمانکار لینک دستورکار را پس از پایان بازه نمی‌تواند باز کند.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۱۷. امنیت، حریم خصوصی و قابلیت اتکا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اعتماد محصول از روز اول مهندسی و قابل ممیزی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۱۷.۱ کنترل‌های پایه</w:t>
      </w:r>
    </w:p>
    <w:p>
      <w:pPr>
        <w:spacing w:after="80" w:line="300" w:lineRule="auto"/>
        <w:jc w:val="right"/>
        <w:bidi w:val="1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12B"/>
          <w:sz w:val="21"/>
        </w:rPr>
        <w:t>MFA برای نقش‌های مالی/مدیریتی؛ session policy و device/risk signals.</w:t>
      </w:r>
    </w:p>
    <w:p>
      <w:pPr>
        <w:spacing w:after="80" w:line="300" w:lineRule="auto"/>
        <w:jc w:val="right"/>
        <w:bidi w:val="1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12B"/>
          <w:sz w:val="21"/>
        </w:rPr>
        <w:t>RBAC + ABAC بر اساس property، relation، date، purpose و data class.</w:t>
      </w:r>
    </w:p>
    <w:p>
      <w:pPr>
        <w:spacing w:after="80" w:line="300" w:lineRule="auto"/>
        <w:jc w:val="right"/>
        <w:bidi w:val="1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12B"/>
          <w:sz w:val="21"/>
        </w:rPr>
        <w:t>Encryption in transit/at rest، secrets manager و key rotation.</w:t>
      </w:r>
    </w:p>
    <w:p>
      <w:pPr>
        <w:spacing w:after="80" w:line="300" w:lineRule="auto"/>
        <w:jc w:val="right"/>
        <w:bidi w:val="1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12B"/>
          <w:sz w:val="21"/>
        </w:rPr>
        <w:t>Immutable audit برای login، view حساس، export، permission، posting، payment و correction.</w:t>
      </w:r>
    </w:p>
    <w:p>
      <w:pPr>
        <w:spacing w:after="80" w:line="300" w:lineRule="auto"/>
        <w:jc w:val="right"/>
        <w:bidi w:val="1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12B"/>
          <w:sz w:val="21"/>
        </w:rPr>
        <w:t>تفکیک محیط و tenant، تست isolation و جلوگیری از IDOR.</w:t>
      </w:r>
    </w:p>
    <w:p>
      <w:pPr>
        <w:spacing w:after="80" w:line="300" w:lineRule="auto"/>
        <w:jc w:val="right"/>
        <w:bidi w:val="1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12B"/>
          <w:sz w:val="21"/>
        </w:rPr>
        <w:t>Backup، point-in-time recovery، restore drill و disaster recovery runbook.</w:t>
      </w:r>
    </w:p>
    <w:p>
      <w:pPr>
        <w:spacing w:after="80" w:line="300" w:lineRule="auto"/>
        <w:jc w:val="right"/>
        <w:bidi w:val="1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12B"/>
          <w:sz w:val="21"/>
        </w:rPr>
        <w:t>Data retention، legal hold، deletion/anonymization و Data Subject Request workflow.</w:t>
      </w:r>
    </w:p>
    <w:p>
      <w:pPr>
        <w:spacing w:after="80" w:line="300" w:lineRule="auto"/>
        <w:jc w:val="right"/>
        <w:bidi w:val="1"/>
        <w:numPr>
          <w:ilvl w:val="0"/>
          <w:numId w:val="27"/>
        </w:numPr>
      </w:pPr>
      <w:r>
        <w:rPr>
          <w:rFonts w:ascii="DejaVu Sans" w:hAnsi="DejaVu Sans" w:cs="DejaVu Sans" w:eastAsia="DejaVu Sans"/>
          <w:color w:val="17212B"/>
          <w:sz w:val="21"/>
        </w:rPr>
        <w:t>Incident response با P0/P1/P2، breach assessment، notification decision و postmortem.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۱۷.۲ اهداف موقت NFR برای V1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448"/>
        <w:gridCol w:w="2448"/>
        <w:gridCol w:w="4464"/>
      </w:tblGrid>
      <w:tr>
        <w:trPr>
          <w:tblHeader w:val="true"/>
          <w:cantSplit/>
        </w:trPr>
        <w:tc>
          <w:tcPr>
            <w:tcW w:type="dxa" w:w="244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شاخص</w:t>
            </w:r>
          </w:p>
        </w:tc>
        <w:tc>
          <w:tcPr>
            <w:tcW w:type="dxa" w:w="244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هدف پیشنهادی</w:t>
            </w:r>
          </w:p>
        </w:tc>
        <w:tc>
          <w:tcPr>
            <w:tcW w:type="dxa" w:w="4464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یادداشت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Availability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حداقل ۹۹٫۹٪ ماهانه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به‌جز maintenance اعلام‌شده</w:t>
            </w:r>
          </w:p>
        </w:tc>
      </w:tr>
      <w:tr>
        <w:trPr>
          <w:cantSplit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RPO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حداکثر ۱۵ دقیقه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برای داده تراکنشی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RTO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حداکثر ۴ ساعت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پس از DR test تأیید شود</w:t>
            </w:r>
          </w:p>
        </w:tc>
      </w:tr>
      <w:tr>
        <w:trPr>
          <w:cantSplit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P95 API read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حداکثر ۷۵۰ ms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در بار V1 تعریف‌شده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Mass billing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۱۰٬۰۰۰ واحد در کمتر از ۳۰ دقیقه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بدون block UI</w:t>
            </w:r>
          </w:p>
        </w:tc>
      </w:tr>
      <w:tr>
        <w:trPr>
          <w:cantSplit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Audit retention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طبق Rule Pack/contract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عدد ثابت قبل از legal validation ممنوع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Critical vulnerability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۰ در production release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exception فقط با risk acceptance</w:t>
            </w:r>
          </w:p>
        </w:tc>
      </w:tr>
      <w:tr>
        <w:trPr>
          <w:cantSplit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Accessibility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WCAG 2.2 AA target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برای جریان‌های اصلی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7A5A00"/>
          <w:left w:val="single" w:sz="9" w:space="0" w:color="7A5A00"/>
          <w:bottom w:val="single" w:sz="9" w:space="0" w:color="7A5A00"/>
          <w:right w:val="single" w:sz="9" w:space="0" w:color="7A5A00"/>
          <w:insideH w:val="single" w:sz="9" w:space="0" w:color="7A5A00"/>
          <w:insideV w:val="single" w:sz="9" w:space="0" w:color="7A5A00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7A5A00"/>
                <w:sz w:val="20"/>
              </w:rPr>
              <w:t xml:space="preserve">AI Governance: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AI مجاز است OCR، طبقه‌بندی، anomaly explanation و drafting انجام دهد؛ اجازه ثبت نهایی Journal، تصمیم حقوقی، افشای بدهی، تشخیص قطعی خرابی یا تضمین صرفه‌جویی ندارد. Prompt/model/version، confidence، override و eval باید ثبت شوند.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۱۸. پایلوت و ورود به بازار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ارزش در ساختمان واقعی اثبات و مسیر گسترش مالک‌محور فعال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۱۸.۱ ترکیب پایلوت</w:t>
      </w:r>
    </w:p>
    <w:p>
      <w:pPr>
        <w:spacing w:after="80" w:line="300" w:lineRule="auto"/>
        <w:jc w:val="right"/>
        <w:bidi w:val="1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12B"/>
          <w:sz w:val="21"/>
        </w:rPr>
        <w:t>۵ ساختمان ۴۰ تا ۱۵۰ واحدی در بخارست/ایلفو با حداقل ۱۲ ماه داده مالی.</w:t>
      </w:r>
    </w:p>
    <w:p>
      <w:pPr>
        <w:spacing w:after="80" w:line="300" w:lineRule="auto"/>
        <w:jc w:val="right"/>
        <w:bidi w:val="1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12B"/>
          <w:sz w:val="21"/>
        </w:rPr>
        <w:t>حداقل دو بلوک قدیمی، یک ساختمان جدید با امکانات، یک ساختمان مختلط و یک مجتمع/شهرک.</w:t>
      </w:r>
    </w:p>
    <w:p>
      <w:pPr>
        <w:spacing w:after="80" w:line="300" w:lineRule="auto"/>
        <w:jc w:val="right"/>
        <w:bidi w:val="1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12B"/>
          <w:sz w:val="21"/>
        </w:rPr>
        <w:t>۲۰ مالک دارای دو یا چند ملک برای Cladora Portfolio؛ بخشی از املاک خارج ساختمان‌های پایلوت.</w:t>
      </w:r>
    </w:p>
    <w:p>
      <w:pPr>
        <w:spacing w:after="80" w:line="300" w:lineRule="auto"/>
        <w:jc w:val="right"/>
        <w:bidi w:val="1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12B"/>
          <w:sz w:val="21"/>
        </w:rPr>
        <w:t>۲ شرکت مدیریت برای بررسی multi-building workflow، بدون تعهد مهاجرت کامل در روز اول.</w:t>
      </w:r>
    </w:p>
    <w:p>
      <w:pPr>
        <w:spacing w:after="80" w:line="300" w:lineRule="auto"/>
        <w:jc w:val="right"/>
        <w:bidi w:val="1"/>
        <w:numPr>
          <w:ilvl w:val="0"/>
          <w:numId w:val="28"/>
        </w:numPr>
      </w:pPr>
      <w:r>
        <w:rPr>
          <w:rFonts w:ascii="DejaVu Sans" w:hAnsi="DejaVu Sans" w:cs="DejaVu Sans" w:eastAsia="DejaVu Sans"/>
          <w:color w:val="17212B"/>
          <w:sz w:val="21"/>
        </w:rPr>
        <w:t>یک ویلای مستقل برای اثبات حالت non-association.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۱۸.۲ راهبرد Owner-first land-and-expand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مالک می‌تواند همه املاک خود را اضافه کند حتی اگر انجمن‌های آنها از نرم‌افزارهای متفاوت استفاده کنند. قبض/فایل را وارد، مستأجر را با دسترسی محدود دعوت و جریان نقدی سبد را می‌بیند. با افزایش تعداد مالک در یک ساختمان، CLADORA می‌تواند مدیر را برای اتصال یا مهاجرت کامل دعوت کند. این حلقه، هزینه کوچ را کاهش و تقاضا را از پایین به بالا ایجاد می‌کند.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۱۸.۳ معیار خروج پایلوت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بُعد</w:t>
            </w:r>
          </w:p>
        </w:tc>
        <w:tc>
          <w:tcPr>
            <w:tcW w:type="dxa" w:w="727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حداقل خروج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Financial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دو ماه بسته‌شده، reconciliation تصویب، ۰ defect بحرانی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Migration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همه مانده‌های جاری و ۹۵٪ اسناد Scope وارد/ارجاع‌شده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Adoption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۸۰٪ مالک دعوت‌شده فعال؛ ۵۰٪ ساکنان دارای تعامل عملیاتی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Operations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SLA تیکت و اعلان اضطراری در حد توافق پایلوت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Value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حداقل یک اقدام صرفه‌جویی/ساختمان وارد اندازه‌گیری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Trust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۰ رخداد P0، پاسخ کامل به access/export request آزمایشی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Support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Runbook، آموزش، knowledge base و escalation قابل اجرا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Commercial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8"/>
              </w:rPr>
              <w:t>حداقل ۳ ساختمان یا ۱ شرکت مدیریت برای قرارداد پس از پایلوت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۱۹. مدل تجاری و بسته‌بندی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درآمد با ارزش قابل مشاهده همسو و تعارض منافع شفاف شود.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872"/>
        <w:gridCol w:w="1584"/>
        <w:gridCol w:w="4176"/>
        <w:gridCol w:w="1728"/>
      </w:tblGrid>
      <w:tr>
        <w:trPr>
          <w:tblHeader w:val="true"/>
          <w:cantSplit/>
        </w:trPr>
        <w:tc>
          <w:tcPr>
            <w:tcW w:type="dxa" w:w="1872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بسته</w:t>
            </w:r>
          </w:p>
        </w:tc>
        <w:tc>
          <w:tcPr>
            <w:tcW w:type="dxa" w:w="1584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مشتری</w:t>
            </w:r>
          </w:p>
        </w:tc>
        <w:tc>
          <w:tcPr>
            <w:tcW w:type="dxa" w:w="4176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اجزای اصلی</w:t>
            </w:r>
          </w:p>
        </w:tc>
        <w:tc>
          <w:tcPr>
            <w:tcW w:type="dxa" w:w="1728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مدل قیمت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Cladora Association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انجمن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finance، charge، resident، maintenance، governance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حداقل ماهانه + per unit</w:t>
            </w:r>
          </w:p>
        </w:tc>
      </w:tr>
      <w:tr>
        <w:trPr>
          <w:cantSplit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Cladora Portfolio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مالک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properties، rent، cash flow، documents، tenant rights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per owner + property tiers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Cladora Manager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شرکت مدیریت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multi-org، staff، SLA، treasury، reporting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platform + managed units</w:t>
            </w:r>
          </w:p>
        </w:tc>
      </w:tr>
      <w:tr>
        <w:trPr>
          <w:cantSplit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Cladora Intelligence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ساختمان/شرکت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benchmark، anomaly، opportunity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add-on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Cladora Move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مهاجرت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discovery، mapping، shadow، cutover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fixed scope + exceptions</w:t>
            </w:r>
          </w:p>
        </w:tc>
      </w:tr>
      <w:tr>
        <w:trPr>
          <w:cantSplit/>
        </w:trP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Cladora Capital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انجمن/مالک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plan، project، value report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project/add-on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اعداد اولیه قیمت فقط Hypothesis هستند و باید با willingness-to-pay پایلوت، هزینه پشتیبانی، پیچیدگی مهاجرت و liability تست شوند. کمیسیون شریک یا پیمانکار باید کامل افشا شود و رتبه‌بندی پیشنهادها را مخفیانه تغییر ندهد.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۱۹.۱ KPI Tree</w:t>
      </w:r>
    </w:p>
    <w:p>
      <w:pPr>
        <w:spacing w:after="80" w:line="300" w:lineRule="auto"/>
        <w:jc w:val="right"/>
        <w:bidi w:val="1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12B"/>
          <w:sz w:val="21"/>
        </w:rPr>
        <w:t>North Star: تعداد واحد/ملک فعال با چرخه مالی یا عملیاتی کامل در ماه.</w:t>
      </w:r>
    </w:p>
    <w:p>
      <w:pPr>
        <w:spacing w:after="80" w:line="300" w:lineRule="auto"/>
        <w:jc w:val="right"/>
        <w:bidi w:val="1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12B"/>
          <w:sz w:val="21"/>
        </w:rPr>
        <w:t>Activation: زمان تا اولین property، import، charge report و invitation.</w:t>
      </w:r>
    </w:p>
    <w:p>
      <w:pPr>
        <w:spacing w:after="80" w:line="300" w:lineRule="auto"/>
        <w:jc w:val="right"/>
        <w:bidi w:val="1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12B"/>
          <w:sz w:val="21"/>
        </w:rPr>
        <w:t>Financial quality: close time، reconciliation exception، correction rate، payment match.</w:t>
      </w:r>
    </w:p>
    <w:p>
      <w:pPr>
        <w:spacing w:after="80" w:line="300" w:lineRule="auto"/>
        <w:jc w:val="right"/>
        <w:bidi w:val="1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12B"/>
          <w:sz w:val="21"/>
        </w:rPr>
        <w:t>Engagement: active owner/resident، message receipt، ticket completion، portfolio coverage.</w:t>
      </w:r>
    </w:p>
    <w:p>
      <w:pPr>
        <w:spacing w:after="80" w:line="300" w:lineRule="auto"/>
        <w:jc w:val="right"/>
        <w:bidi w:val="1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12B"/>
          <w:sz w:val="21"/>
        </w:rPr>
        <w:t>Value: cost opportunities، verified savings، preventive/urgent ratio، contract leakage closed.</w:t>
      </w:r>
    </w:p>
    <w:p>
      <w:pPr>
        <w:spacing w:after="80" w:line="300" w:lineRule="auto"/>
        <w:jc w:val="right"/>
        <w:bidi w:val="1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12B"/>
          <w:sz w:val="21"/>
        </w:rPr>
        <w:t>Trust: access incidents، audit completeness، export success، support resolution و churn.</w:t>
      </w:r>
    </w:p>
    <w:p>
      <w:pPr>
        <w:spacing w:after="80" w:line="300" w:lineRule="auto"/>
        <w:jc w:val="right"/>
        <w:bidi w:val="1"/>
        <w:numPr>
          <w:ilvl w:val="0"/>
          <w:numId w:val="29"/>
        </w:numPr>
      </w:pPr>
      <w:r>
        <w:rPr>
          <w:rFonts w:ascii="DejaVu Sans" w:hAnsi="DejaVu Sans" w:cs="DejaVu Sans" w:eastAsia="DejaVu Sans"/>
          <w:color w:val="17212B"/>
          <w:sz w:val="21"/>
        </w:rPr>
        <w:t>Economics: CAC، onboarding cost، migration margin، gross margin، NRR و payback.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۲۰. ریسک، تغییر و گزارش‌دهی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مشکلات زود آشکار و تصمیم‌ها قابل پیگیری شوند.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648"/>
        <w:gridCol w:w="2304"/>
        <w:gridCol w:w="1080"/>
        <w:gridCol w:w="3960"/>
        <w:gridCol w:w="1368"/>
      </w:tblGrid>
      <w:tr>
        <w:trPr>
          <w:tblHeader w:val="true"/>
          <w:cantSplit/>
        </w:trPr>
        <w:tc>
          <w:tcPr>
            <w:tcW w:type="dxa" w:w="64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ریسک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اثر</w:t>
            </w:r>
          </w:p>
        </w:tc>
        <w:tc>
          <w:tcPr>
            <w:tcW w:type="dxa" w:w="39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پاسخ</w:t>
            </w:r>
          </w:p>
        </w:tc>
        <w:tc>
          <w:tcPr>
            <w:tcW w:type="dxa" w:w="136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مالک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خطای حسابداری/تخصیص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Golden tests، Finance sign-off، shadow close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Finance Lead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R02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قانون یا تفسیر نادرست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Rule Pack versioning، counsel، disclaimer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Legal Lead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داده مهاجرت ناقص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staging، reconciliation، exceptions، rollback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Migration Lead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R04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افشای مالک/مستأجر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بحرانی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ABAC، isolation tests، audit، DPIA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Security/DPO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Scope بسیار وسیع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release boundaries، WSJF، change board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PO/Program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R06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پذیرش پایین مدیر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متوسط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workflow-first UX، import، training، champions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CS/Product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R07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تصمیم‌گیری جمعی کند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متوسط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governance workflow، owner-first growth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Founder/CS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R08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کمبود benchmark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متوسط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historical self-baseline، quote ranges، confidence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Data Lead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R09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ادعای AI/مهندسی غلط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human review، boundaries، eval و evidence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Data/Engineering SME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R10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وابستگی به vendor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متوسط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adapter، export، contract exit، portability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Tech Lead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R11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پشتیبانی پرهزینه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scope migration، self-service، instrumentation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Ops Lead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R12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عدم موفقیت پایلوت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selection criteria، baseline، weekly recovery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Program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R13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امنیت کلید/ورود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time-bound grants، no public roster، revocation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Security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R14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کمبود سرمایه/ظرفیت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بالا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phased hiring، runway gates، must-only scope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Sponsor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R15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عملکرد ضعیف billing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متوسط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async jobs، load test، observability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Tech/SRE</w:t>
            </w:r>
          </w:p>
        </w:tc>
      </w:tr>
      <w:tr>
        <w:trPr>
          <w:cantSplit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R16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تعارض منافع شریک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متوسط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commission disclosure، ranking policy، audit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Legal/Commercial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۲۰.۱ Change Control</w:t>
      </w:r>
    </w:p>
    <w:p>
      <w:pPr>
        <w:spacing w:after="80" w:line="300" w:lineRule="auto"/>
        <w:jc w:val="right"/>
        <w:bidi w:val="1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12B"/>
          <w:sz w:val="21"/>
        </w:rPr>
        <w:t>درخواست تغییر باید مسئله، گزینه‌ها، urgency، benefit، scope و sponsor را مشخص کند.</w:t>
      </w:r>
    </w:p>
    <w:p>
      <w:pPr>
        <w:spacing w:after="80" w:line="300" w:lineRule="auto"/>
        <w:jc w:val="right"/>
        <w:bidi w:val="1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12B"/>
          <w:sz w:val="21"/>
        </w:rPr>
        <w:t>Program اثر بر schedule، budget، team، architecture، data، legal، migration، security و support را برآورد کند.</w:t>
      </w:r>
    </w:p>
    <w:p>
      <w:pPr>
        <w:spacing w:after="80" w:line="300" w:lineRule="auto"/>
        <w:jc w:val="right"/>
        <w:bidi w:val="1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12B"/>
          <w:sz w:val="21"/>
        </w:rPr>
        <w:t>PO تغییر داخل Sprint را فقط برای P0 defect یا تصمیم گیت می‌پذیرد؛ سایر موارد وارد refinement می‌شوند.</w:t>
      </w:r>
    </w:p>
    <w:p>
      <w:pPr>
        <w:spacing w:after="80" w:line="300" w:lineRule="auto"/>
        <w:jc w:val="right"/>
        <w:bidi w:val="1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12B"/>
          <w:sz w:val="21"/>
        </w:rPr>
        <w:t>تغییر بیش از یک Sprint، ۵٪ بودجه فاز یا مرز حقوقی به Change Control Board می‌رود.</w:t>
      </w:r>
    </w:p>
    <w:p>
      <w:pPr>
        <w:spacing w:after="80" w:line="300" w:lineRule="auto"/>
        <w:jc w:val="right"/>
        <w:bidi w:val="1"/>
        <w:numPr>
          <w:ilvl w:val="0"/>
          <w:numId w:val="30"/>
        </w:numPr>
      </w:pPr>
      <w:r>
        <w:rPr>
          <w:rFonts w:ascii="DejaVu Sans" w:hAnsi="DejaVu Sans" w:cs="DejaVu Sans" w:eastAsia="DejaVu Sans"/>
          <w:color w:val="17212B"/>
          <w:sz w:val="21"/>
        </w:rPr>
        <w:t>پس از تصویب، baseline، roadmap، risk register، requirements و communication به‌روزرسانی می‌شوند.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۲۰.۲ گزارش هفتگی یک‌صفحه‌ای</w:t>
      </w:r>
    </w:p>
    <w:p>
      <w:pPr>
        <w:spacing w:after="80" w:line="300" w:lineRule="auto"/>
        <w:jc w:val="right"/>
        <w:bidi w:val="1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12B"/>
          <w:sz w:val="21"/>
        </w:rPr>
        <w:t>RAG وضعیت Outcome، schedule، budget، quality، security، pilot و staffing.</w:t>
      </w:r>
    </w:p>
    <w:p>
      <w:pPr>
        <w:spacing w:after="80" w:line="300" w:lineRule="auto"/>
        <w:jc w:val="right"/>
        <w:bidi w:val="1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12B"/>
          <w:sz w:val="21"/>
        </w:rPr>
        <w:t>سه دستاورد، سه کار بعدی، سه ریسک/مانع، تصمیم‌های مورد نیاز با deadline.</w:t>
      </w:r>
    </w:p>
    <w:p>
      <w:pPr>
        <w:spacing w:after="80" w:line="300" w:lineRule="auto"/>
        <w:jc w:val="right"/>
        <w:bidi w:val="1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12B"/>
          <w:sz w:val="21"/>
        </w:rPr>
        <w:t>Milestone forecast و variance نسبت به baseline.</w:t>
      </w:r>
    </w:p>
    <w:p>
      <w:pPr>
        <w:spacing w:after="80" w:line="300" w:lineRule="auto"/>
        <w:jc w:val="right"/>
        <w:bidi w:val="1"/>
        <w:numPr>
          <w:ilvl w:val="0"/>
          <w:numId w:val="31"/>
        </w:numPr>
      </w:pPr>
      <w:r>
        <w:rPr>
          <w:rFonts w:ascii="DejaVu Sans" w:hAnsi="DejaVu Sans" w:cs="DejaVu Sans" w:eastAsia="DejaVu Sans"/>
          <w:color w:val="17212B"/>
          <w:sz w:val="21"/>
        </w:rPr>
        <w:t>KPIهای محصول/مهندسی، defect trend، migration exceptions و incident summary.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۲۱. عملیات پس از عرضه و Go/No-Go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2E74B5"/>
          <w:left w:val="single" w:sz="9" w:space="0" w:color="2E74B5"/>
          <w:bottom w:val="single" w:sz="9" w:space="0" w:color="2E74B5"/>
          <w:right w:val="single" w:sz="9" w:space="0" w:color="2E74B5"/>
          <w:insideH w:val="single" w:sz="9" w:space="0" w:color="2E74B5"/>
          <w:insideV w:val="single" w:sz="9" w:space="0" w:color="2E74B5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2E74B5"/>
                <w:sz w:val="20"/>
              </w:rPr>
              <w:t xml:space="preserve">هدف بخش: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تحویل به عملیات و مسئولیت روز دوم محصول تعریف شود.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۲۱.۱ Operating Model</w:t>
      </w:r>
    </w:p>
    <w:p>
      <w:pPr>
        <w:spacing w:after="80" w:line="300" w:lineRule="auto"/>
        <w:jc w:val="right"/>
        <w:bidi w:val="1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12B"/>
          <w:sz w:val="21"/>
        </w:rPr>
        <w:t>L1 Customer Support، L2 Product/Operations و L3 Engineering/Security با escalation روشن.</w:t>
      </w:r>
    </w:p>
    <w:p>
      <w:pPr>
        <w:spacing w:after="80" w:line="300" w:lineRule="auto"/>
        <w:jc w:val="right"/>
        <w:bidi w:val="1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12B"/>
          <w:sz w:val="21"/>
        </w:rPr>
        <w:t>ماه‌بندی تقویم مالی مشتری، پنجره release و change freeze در روزهای حساس.</w:t>
      </w:r>
    </w:p>
    <w:p>
      <w:pPr>
        <w:spacing w:after="80" w:line="300" w:lineRule="auto"/>
        <w:jc w:val="right"/>
        <w:bidi w:val="1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12B"/>
          <w:sz w:val="21"/>
        </w:rPr>
        <w:t>Customer health شامل data quality، close status، adoption، backlog، SLA و commercial risk.</w:t>
      </w:r>
    </w:p>
    <w:p>
      <w:pPr>
        <w:spacing w:after="80" w:line="300" w:lineRule="auto"/>
        <w:jc w:val="right"/>
        <w:bidi w:val="1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12B"/>
          <w:sz w:val="21"/>
        </w:rPr>
        <w:t>Rule Pack release مستقل، legal review و effective-date migration دارد.</w:t>
      </w:r>
    </w:p>
    <w:p>
      <w:pPr>
        <w:spacing w:after="80" w:line="300" w:lineRule="auto"/>
        <w:jc w:val="right"/>
        <w:bidi w:val="1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12B"/>
          <w:sz w:val="21"/>
        </w:rPr>
        <w:t>Quarterly access review برای admin، board، cenzor، vendor و temporary grants.</w:t>
      </w:r>
    </w:p>
    <w:p>
      <w:pPr>
        <w:spacing w:after="80" w:line="300" w:lineRule="auto"/>
        <w:jc w:val="right"/>
        <w:bidi w:val="1"/>
        <w:numPr>
          <w:ilvl w:val="0"/>
          <w:numId w:val="32"/>
        </w:numPr>
      </w:pPr>
      <w:r>
        <w:rPr>
          <w:rFonts w:ascii="DejaVu Sans" w:hAnsi="DejaVu Sans" w:cs="DejaVu Sans" w:eastAsia="DejaVu Sans"/>
          <w:color w:val="17212B"/>
          <w:sz w:val="21"/>
        </w:rPr>
        <w:t>Monthly financial control review برای suspense، unreconciled bank، reopened periods و manual overrides.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۲۱.۲ چک‌لیست Go/No-Go تجاری</w:t>
      </w:r>
    </w:p>
    <w:p>
      <w:pPr>
        <w:spacing w:after="80" w:line="300" w:lineRule="auto"/>
        <w:jc w:val="right"/>
        <w:bidi w:val="1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12B"/>
          <w:sz w:val="21"/>
        </w:rPr>
        <w:t>G5 evidence و امضاها کامل؛ Open P0/P1 defect صفر یا risk acceptance رسمی.</w:t>
      </w:r>
    </w:p>
    <w:p>
      <w:pPr>
        <w:spacing w:after="80" w:line="300" w:lineRule="auto"/>
        <w:jc w:val="right"/>
        <w:bidi w:val="1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12B"/>
          <w:sz w:val="21"/>
        </w:rPr>
        <w:t>Pen test، backup restore، DR tabletop و incident drill انجام شده‌اند.</w:t>
      </w:r>
    </w:p>
    <w:p>
      <w:pPr>
        <w:spacing w:after="80" w:line="300" w:lineRule="auto"/>
        <w:jc w:val="right"/>
        <w:bidi w:val="1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12B"/>
          <w:sz w:val="21"/>
        </w:rPr>
        <w:t>Privacy notice، DPA، terms، subprocessor list و retention policy تصویب شده‌اند.</w:t>
      </w:r>
    </w:p>
    <w:p>
      <w:pPr>
        <w:spacing w:after="80" w:line="300" w:lineRule="auto"/>
        <w:jc w:val="right"/>
        <w:bidi w:val="1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12B"/>
          <w:sz w:val="21"/>
        </w:rPr>
        <w:t>Billing/pricing، tax invoice، refund/cancellation و revenue recognition آماده است.</w:t>
      </w:r>
    </w:p>
    <w:p>
      <w:pPr>
        <w:spacing w:after="80" w:line="300" w:lineRule="auto"/>
        <w:jc w:val="right"/>
        <w:bidi w:val="1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12B"/>
          <w:sz w:val="21"/>
        </w:rPr>
        <w:t>Support hours، SLA، escalation، training، status page و maintenance communication فعال است.</w:t>
      </w:r>
    </w:p>
    <w:p>
      <w:pPr>
        <w:spacing w:after="80" w:line="300" w:lineRule="auto"/>
        <w:jc w:val="right"/>
        <w:bidi w:val="1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12B"/>
          <w:sz w:val="21"/>
        </w:rPr>
        <w:t>Migration capacity، exception pricing و rollback procedure مستند است.</w:t>
      </w:r>
    </w:p>
    <w:p>
      <w:pPr>
        <w:spacing w:after="80" w:line="300" w:lineRule="auto"/>
        <w:jc w:val="right"/>
        <w:bidi w:val="1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12B"/>
          <w:sz w:val="21"/>
        </w:rPr>
        <w:t>Monitoring برای ledger imbalance، failed billing، access anomaly و notification failure فعال است.</w:t>
      </w:r>
    </w:p>
    <w:p>
      <w:pPr>
        <w:spacing w:after="80" w:line="300" w:lineRule="auto"/>
        <w:jc w:val="right"/>
        <w:bidi w:val="1"/>
        <w:numPr>
          <w:ilvl w:val="0"/>
          <w:numId w:val="33"/>
        </w:numPr>
      </w:pPr>
      <w:r>
        <w:rPr>
          <w:rFonts w:ascii="DejaVu Sans" w:hAnsi="DejaVu Sans" w:cs="DejaVu Sans" w:eastAsia="DejaVu Sans"/>
          <w:color w:val="17212B"/>
          <w:sz w:val="21"/>
        </w:rPr>
        <w:t>Launch cohorts محدود و kill switch/feature flags تعیین شده‌اند.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13847C"/>
          <w:left w:val="single" w:sz="9" w:space="0" w:color="13847C"/>
          <w:bottom w:val="single" w:sz="9" w:space="0" w:color="13847C"/>
          <w:right w:val="single" w:sz="9" w:space="0" w:color="13847C"/>
          <w:insideH w:val="single" w:sz="9" w:space="0" w:color="13847C"/>
          <w:insideV w:val="single" w:sz="9" w:space="0" w:color="13847C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7F5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13847C"/>
                <w:sz w:val="20"/>
              </w:rPr>
              <w:t xml:space="preserve">نتیجه توصیه‌شده: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CLADORA از نظر تعریف محصول کامل است، اما ساخت هم‌زمان همه هسته‌ها اشتباه مدیریتی خواهد بود. مسیر صحیح: هسته مالی + حقوق + ملک/سکونت + کنتور + ارتباط + مهاجرت در موج اول؛ عملیات و قرارداد در موج دوم؛ هوش، سرمایه و امکانات در موج سوم.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ضمیمه A. کاتالوگ اولیه الزامات عملکردی</w:t>
      </w:r>
    </w:p>
    <w:p>
      <w:pPr>
        <w:spacing w:before="0" w:after="120" w:line="300" w:lineRule="auto"/>
        <w:jc w:val="right"/>
        <w:bidi w:val="1"/>
      </w:pPr>
      <w:r>
        <w:rPr>
          <w:rFonts w:ascii="DejaVu Sans" w:hAnsi="DejaVu Sans" w:cs="DejaVu Sans" w:eastAsia="DejaVu Sans"/>
          <w:i w:val="0"/>
          <w:color w:val="17212B"/>
          <w:sz w:val="22"/>
        </w:rPr>
        <w:t>این کاتالوگ برای شروع Backlog است. هر مورد باید در Refinement به Story، Acceptance Criteria و Test Case پیوند بخورد. M=Must، S=Should، C=Could.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512"/>
        <w:gridCol w:w="4968"/>
        <w:gridCol w:w="504"/>
        <w:gridCol w:w="1008"/>
        <w:gridCol w:w="1368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96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الزام</w:t>
            </w:r>
          </w:p>
        </w:tc>
        <w:tc>
          <w:tcPr>
            <w:tcW w:type="dxa" w:w="50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P</w:t>
            </w:r>
          </w:p>
        </w:tc>
        <w:tc>
          <w:tcPr>
            <w:tcW w:type="dxa" w:w="100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1368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شاهد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FR-FIN-001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تعریف و نسخه‌بندی Chart of Accounts برای هر سازمان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FR-FIN-002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ثبت سند دوطرفه Draft/Approved/Posted/Reversed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FR-FIN-003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کنترل دوره مالی و بستن/بازگشایی با دلیل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FR-FIN-004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اتصال فایل اصل و checksum به سند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FR-FIN-005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Dimensions ساختمان، ورودی، واحد، صندوق، پروژه و مرکز هزینه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FR-FIN-006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بودجه، تعهد، actual و forecast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FR-FIN-007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حساب‌های دریافتنی/پرداختنی و aging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FR-FIN-008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گزارش تراز، دفتر، درآمد/هزینه، بودجه و مانده واحد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FR-ALLOC-001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Rule version برای سهم مالکیت، نفر، واحد، مصرف، مساحت و zone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FR-ALLOC-002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تخصیص ترکیبی و حداقل/حداکثر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FR-ALLOC-003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تفکیک Legal Debtor و Operational Payer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FR-ALLOC-004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Proration برای تغییر مالک/سکونت در میان دوره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FR-ALLOC-005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preview، simulation و approval پیش از انتشار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FR-ALLOC-006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Drill-down هر Charge Line تا سند و driver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FR-ALLOC-007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اعتراض، adjustment و credit note با audit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FR-ALLOC-008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قفل allocation دوره بسته و correction کنترل‌شده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FR-TRE-001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ورود statement بانکی و auto-match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FR-TRE-002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payment initiation/approval بدون نگهداری غیرمجاز وجه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FR-TRE-003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تفکیک وظایف maker/checker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FR-TRE-004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ثبت cash و receipt با کنترل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FR-TRE-005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payment allocation به invoice/charge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FR-TRE-006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duplicate payment و exception queue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FR-TRE-007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cash position و forecast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FR-TRE-008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vendor payment run و approval trail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FR-REC-001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aging و collection stage قابل تنظیم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FR-REC-002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reminder حقوق‌محور چندکاناله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FR-REC-003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payment plan و approval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FR-REC-004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dispute freeze بدون حذف debt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FR-REC-005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interest/penalty فقط با Rule Pack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FR-REC-006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case file و evidence export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FR-REC-007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write-off با مجوز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FR-REC-008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dashboard recovery و promise-to-pay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FR-COMP-001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compliance calendar و owner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FR-COMP-002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evidence attachment و expiry reminder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FR-COMP-003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قالب‌های گزارش کشور/سازمان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FR-COMP-004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employee/contractor records با scope محدود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FR-COMP-005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tax/workforce connector interface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FR-COMP-006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rule effective date و source registry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FR-COMP-007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legal review workflow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FR-COMP-008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audit export برای cenzor/authority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FR-PROP-001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ساختار property/building/entrance/unit/space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FR-PROP-002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مالکیت چندنفره با سهم و بازه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FR-PROP-003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occupancy و تعداد نفرات با effective date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FR-PROP-004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وضعیت vacant/owner/rented/Airbnb/company/renovation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FR-PROP-005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lease/stay و deposit reference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FR-PROP-006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representative/power grant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FR-PROP-007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time-bound resident/vendor access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FR-PROP-008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emergency contact با consent و purpose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FR-ENG-001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Building Archetype و Rule Pack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FR-ENG-002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component registry پوسته/تأسیسات/امکانات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FR-ENG-003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condition score با evidence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FR-ENG-004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inspection و expert report reference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FR-ENG-005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window/insulation/heating/gas attributes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FR-ENG-006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risk trigger و professional referral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FR-ENG-007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renovation history و before/after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FR-ENG-008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پنج‌سال capital need inputs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FR-MTR-001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meter hierarchy main/submeter/zone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FR-MTR-002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photo OCR و confidence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FR-MTR-003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QR/NFC identity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FR-MTR-004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manual correction reason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FR-MTR-005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tariff schedule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FR-MTR-006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consumption normalization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FR-MTR-007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main-vs-submeter variance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FR-MTR-008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device adapter و reading gap alerts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FR-MNT-001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asset registry و criticality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FR-MNT-002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preventive maintenance plan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FR-MNT-003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ticket intake و triage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FR-MNT-004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work order assignment/SLA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FR-MNT-005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parts/labor/downtime cost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FR-MNT-006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inspection checklist و safety escalation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FR-MNT-007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resident appointment/access window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FR-MNT-008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close evidence، rating و warranty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FR-PROC-001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vendor registry و due diligence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FR-PROC-002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contract metadata/expiry/renewal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FR-PROC-003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scope، SLA و penalty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FR-PROC-004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RFQ و bid comparison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FR-PROC-005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conflict/commission disclosure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FR-PROC-006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insurance policy/claim tracking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FR-PROC-007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contract-to-invoice variance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FR-PROC-008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vendor performance scorecard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building feed با audience rules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private owner/tenant statement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multi-channel email/SMS/push/in-app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delivery/read receipt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statutory channel flag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template version و localization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emergency escalation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FR-COM-008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moderation، archive و export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FR-GOV-001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meeting agenda و notice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FR-GOV-002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owner eligibility و proxy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FR-GOV-003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quorum/threshold Rule Pack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FR-GOV-004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vote و evidence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FR-GOV-005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resolution registry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FR-GOV-006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resolution-to-project/task/budget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FR-GOV-007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conflict declaration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FR-GOV-008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status report به مالکان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FR-AMN-001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amenity catalog و operating rules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FR-AMN-002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booking/capacity/fee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FR-AMN-003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parking/storage assignment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FR-AMN-004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guest access window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FR-AMN-005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pool/gym/garden maintenance link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FR-AMN-006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incident/violation workflow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FR-AMN-007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zone cost allocation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FR-AMN-008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closure/maintenance notification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FR-INT-001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rule-based anomaly detection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FR-INT-002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peer group definition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FR-INT-003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percentile only with sample/confidence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FR-INT-004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contract leakage signal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FR-INT-005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maintenance repair/replace scenarios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FR-INT-006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opportunity score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FR-INT-007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human review/feedback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FR-INT-008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explainable evidence trail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FR-CAP-001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Verified Savings Ledger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FR-CAP-002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baseline/version/adjustments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FR-CAP-003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gross/net/cumulative savings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FR-CAP-004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capital project scenarios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FR-CAP-005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reserve funding plan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FR-CAP-006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Building Value Report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FR-CAP-007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no guaranteed valuation claim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FR-CAP-008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independent expert attachment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FR-MIG-001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source authorization/manifest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FR-MIG-002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CSV/Excel/XML mapping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FR-MIG-003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PDF OCR review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FR-MIG-004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staging immutable raw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FR-MIG-005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reconciliation dashboard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FR-MIG-006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Shadow Ledger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FR-MIG-007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cutover/rollback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FR-MIG-008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full customer export/open API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FR-PORT-001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one account/many properties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FR-PORT-002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cross-property cash flow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FR-PORT-003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role varies per property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FR-PORT-004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tenant invite and responsibility split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FR-PORT-005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lease/expense/document timeline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FR-PORT-006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vacancy and rent status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FR-PORT-007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portfolio alerts and tasks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FR-PORT-008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association connection/migration invitation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FR-TRUST-001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multi-tenant isolation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FR-TRUST-002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MFA/session/device control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FR-TRUST-003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RBAC+ABAC grants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FR-TRUST-004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immutable audit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FR-TRUST-005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consent/retention/DSR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FR-TRUST-006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feature flags/configuration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MVP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FR-TRUST-007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observability/incident</w:t>
            </w:r>
          </w:p>
        </w:tc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FR-TRUST-008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backup/DR/status</w:t>
            </w:r>
          </w:p>
        </w:tc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S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V1</w:t>
            </w:r>
          </w:p>
        </w:tc>
        <w:tc>
          <w:tcPr>
            <w:tcW w:type="dxa" w:w="13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4"/>
              </w:rPr>
              <w:t>Test + owner sign-off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ضمیمه B. الزامات غیرعملکردی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1800"/>
        <w:gridCol w:w="5616"/>
        <w:gridCol w:w="1944"/>
      </w:tblGrid>
      <w:tr>
        <w:trPr>
          <w:tblHeader w:val="true"/>
          <w:cantSplit/>
        </w:trPr>
        <w:tc>
          <w:tcPr>
            <w:tcW w:type="dxa" w:w="1800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5616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الزام</w:t>
            </w:r>
          </w:p>
        </w:tc>
        <w:tc>
          <w:tcPr>
            <w:tcW w:type="dxa" w:w="1944"/>
            <w:shd w:fill="13847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اثبات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NFR-SEC-001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تمام دسترسی‌های حساس با ABAC و tenant boundary کنترل شوند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Automated access matrix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NFR-SEC-002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MFA برای admin/finance اجباری باشد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Auth integration test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NFR-SEC-003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فایل upload پیش از پردازش اسکن و نوع آن validate شود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Malware fixture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NFR-SEC-004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Secrets در code/log قرار نگیرند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Secret scan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NFR-PRV-001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Data minimization و purpose برای occupancy/contact ثبت شود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DPIA + schema review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NFR-PRV-002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Export/rectification/deletion workflow قابل اثبات باشد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DSR drill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NFR-AUD-001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رویدادهای مالی/دسترسی حساس tamper-evident باشند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Audit integrity test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NFR-REL-001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Availability موقت ۹۹٫۹٪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SLO dashboard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NFR-REL-002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RPO حداکثر ۱۵ دقیقه و RTO حداکثر ۴ ساعت پس از DR test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Restore evidence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NFR-PERF-001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P95 خواندن API حداکثر ۷۵۰ ms در بار تعریف‌شده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Load report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NFR-PERF-002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Billing ۱۰هزار واحد زیر ۳۰ دقیقه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Batch benchmark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NFR-DATA-001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تمام زمان‌ها UTC ذخیره و محلی نمایش داده شوند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Timezone tests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NFR-DATA-002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Currency/rounding rule explicit و deterministic باشد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Golden tests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NFR-LOC-001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Romanian UI و diacritics کامل؛ English-ready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Localization QA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NFR-UX-001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جریان‌های اصلی WCAG 2.2 AA target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A11y audit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NFR-MOB-001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Meter/ticket critical flows offline queue داشته باشند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Offline sync test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NFR-OPS-001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هر service health، logs، metrics و trace داشته باشد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Observability checklist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NFR-OPS-002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Feature rollback بدون data loss ممکن باشد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Release drill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NFR-API-001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API versioned و backward compatibility policy داشته باشد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Contract tests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NFR-AI-001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AI output confidence، version و override ثبت شود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Eval/audit sample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NFR-AI-002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AI حق final journal/legal/engineering decision نداشته باشد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Permission tests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NFR-MIG-001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هر import idempotent یا safely restartable باشد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Retry test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NFR-MIG-002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raw source immutable و transformation reproducible باشد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Hash/replay test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NFR-SUP-001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خطا دارای correlation ID بدون افشای داده باشد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5"/>
              </w:rPr>
              <w:t>Support drill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ضمیمه C. مصنوعات اجباری پروژه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DD6E1"/>
          <w:left w:val="single" w:sz="6" w:space="0" w:color="CDD6E1"/>
          <w:bottom w:val="single" w:sz="6" w:space="0" w:color="CDD6E1"/>
          <w:right w:val="single" w:sz="6" w:space="0" w:color="CDD6E1"/>
          <w:insideH w:val="single" w:sz="6" w:space="0" w:color="CDD6E1"/>
          <w:insideV w:val="single" w:sz="6" w:space="0" w:color="CDD6E1"/>
        </w:tblBorders>
        <w:tblInd w:w="120" w:type="dxa"/>
      </w:tblPr>
      <w:tblGrid>
        <w:gridCol w:w="3096"/>
        <w:gridCol w:w="2016"/>
        <w:gridCol w:w="1512"/>
        <w:gridCol w:w="2736"/>
      </w:tblGrid>
      <w:tr>
        <w:trPr>
          <w:tblHeader w:val="true"/>
          <w:cantSplit/>
        </w:trPr>
        <w:tc>
          <w:tcPr>
            <w:tcW w:type="dxa" w:w="309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مصنوع</w:t>
            </w:r>
          </w:p>
        </w:tc>
        <w:tc>
          <w:tcPr>
            <w:tcW w:type="dxa" w:w="201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مالک</w:t>
            </w:r>
          </w:p>
        </w:tc>
        <w:tc>
          <w:tcPr>
            <w:tcW w:type="dxa" w:w="151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زمان ایجاد</w:t>
            </w:r>
          </w:p>
        </w:tc>
        <w:tc>
          <w:tcPr>
            <w:tcW w:type="dxa" w:w="273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  <w:bidi w:val="1"/>
            </w:pPr>
            <w:r>
              <w:rPr>
                <w:rFonts w:ascii="DejaVu Sans" w:hAnsi="DejaVu Sans" w:cs="DejaVu Sans" w:eastAsia="DejaVu Sans"/>
                <w:b/>
                <w:color w:val="FFFFFF"/>
                <w:sz w:val="18"/>
              </w:rPr>
              <w:t>به‌روزرسانی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Project Charter/PMP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Program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Baseline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PRD + Requirement Catalog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Product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P0/P1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Release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Domain Model/Data Dictionary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Architecture/Data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P0/P1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Schema change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ADR Register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Tech Lead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تصمیم معماری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Rule Source Registry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Legal/Finance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Rule change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DPIA/Threat Model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DPO/Security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P0/P1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Scope change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Test Strategy/Evidence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QA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Release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 Playbook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Migration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P1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Connector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Pilot Playbook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CS/Program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Cohort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Runbooks/BCP/IR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SRE/Security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P2/P3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هر Incident/Drill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Pricing/Unit Economics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Finance/Commercial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ماهانه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Decision/RAID/Change Logs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Program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روز ۱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DejaVu Sans" w:hAnsi="DejaVu Sans" w:cs="DejaVu Sans" w:eastAsia="DejaVu Sans"/>
                <w:color w:val="17212B"/>
                <w:sz w:val="16"/>
              </w:rPr>
              <w:t>پیوسته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ضمیمه D. الگوی Story و Change Request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D.1 Story Template</w:t>
      </w:r>
    </w:p>
    <w:p>
      <w:pPr>
        <w:spacing w:after="80" w:line="300" w:lineRule="auto"/>
        <w:jc w:val="right"/>
        <w:bidi w:val="1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12B"/>
          <w:sz w:val="21"/>
        </w:rPr>
        <w:t>ID / Title / Epic / Outcome / Persona</w:t>
      </w:r>
    </w:p>
    <w:p>
      <w:pPr>
        <w:spacing w:after="80" w:line="300" w:lineRule="auto"/>
        <w:jc w:val="right"/>
        <w:bidi w:val="1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12B"/>
          <w:sz w:val="21"/>
        </w:rPr>
        <w:t>As a … I need … so that …</w:t>
      </w:r>
    </w:p>
    <w:p>
      <w:pPr>
        <w:spacing w:after="80" w:line="300" w:lineRule="auto"/>
        <w:jc w:val="right"/>
        <w:bidi w:val="1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12B"/>
          <w:sz w:val="21"/>
        </w:rPr>
        <w:t>Business/Legal/Financial Rule + Source + Effective Date</w:t>
      </w:r>
    </w:p>
    <w:p>
      <w:pPr>
        <w:spacing w:after="80" w:line="300" w:lineRule="auto"/>
        <w:jc w:val="right"/>
        <w:bidi w:val="1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12B"/>
          <w:sz w:val="21"/>
        </w:rPr>
        <w:t>Acceptance Criteria به سبک Given/When/Then</w:t>
      </w:r>
    </w:p>
    <w:p>
      <w:pPr>
        <w:spacing w:after="80" w:line="300" w:lineRule="auto"/>
        <w:jc w:val="right"/>
        <w:bidi w:val="1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12B"/>
          <w:sz w:val="21"/>
        </w:rPr>
        <w:t>Data classification / Audit / Accessibility / Localization</w:t>
      </w:r>
    </w:p>
    <w:p>
      <w:pPr>
        <w:spacing w:after="80" w:line="300" w:lineRule="auto"/>
        <w:jc w:val="right"/>
        <w:bidi w:val="1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12B"/>
          <w:sz w:val="21"/>
        </w:rPr>
        <w:t>Dependencies / Migration impact / Rollback / Telemetry</w:t>
      </w:r>
    </w:p>
    <w:p>
      <w:pPr>
        <w:spacing w:after="80" w:line="300" w:lineRule="auto"/>
        <w:jc w:val="right"/>
        <w:bidi w:val="1"/>
        <w:numPr>
          <w:ilvl w:val="0"/>
          <w:numId w:val="34"/>
        </w:numPr>
      </w:pPr>
      <w:r>
        <w:rPr>
          <w:rFonts w:ascii="DejaVu Sans" w:hAnsi="DejaVu Sans" w:cs="DejaVu Sans" w:eastAsia="DejaVu Sans"/>
          <w:color w:val="17212B"/>
          <w:sz w:val="21"/>
        </w:rPr>
        <w:t>Test evidence / Approver / Release flag</w:t>
      </w:r>
    </w:p>
    <w:p>
      <w:pPr>
        <w:pStyle w:val="Heading2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26"/>
        </w:rPr>
        <w:t>D.2 Change Request Template</w:t>
      </w:r>
    </w:p>
    <w:p>
      <w:pPr>
        <w:spacing w:after="80" w:line="300" w:lineRule="auto"/>
        <w:jc w:val="right"/>
        <w:bidi w:val="1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12B"/>
          <w:sz w:val="21"/>
        </w:rPr>
        <w:t>CR-ID، درخواست‌دهنده، تاریخ، urgency و decision deadline</w:t>
      </w:r>
    </w:p>
    <w:p>
      <w:pPr>
        <w:spacing w:after="80" w:line="300" w:lineRule="auto"/>
        <w:jc w:val="right"/>
        <w:bidi w:val="1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12B"/>
          <w:sz w:val="21"/>
        </w:rPr>
        <w:t>مسئله، evidence، گزینه عدم تغییر و benefit مورد انتظار</w:t>
      </w:r>
    </w:p>
    <w:p>
      <w:pPr>
        <w:spacing w:after="80" w:line="300" w:lineRule="auto"/>
        <w:jc w:val="right"/>
        <w:bidi w:val="1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12B"/>
          <w:sz w:val="21"/>
        </w:rPr>
        <w:t>Scope in/out و requirements affected</w:t>
      </w:r>
    </w:p>
    <w:p>
      <w:pPr>
        <w:spacing w:after="80" w:line="300" w:lineRule="auto"/>
        <w:jc w:val="right"/>
        <w:bidi w:val="1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12B"/>
          <w:sz w:val="21"/>
        </w:rPr>
        <w:t>اثر زمان، ظرفیت، هزینه، امنیت، حریم خصوصی، داده، مهاجرت، پشتیبانی و قرارداد</w:t>
      </w:r>
    </w:p>
    <w:p>
      <w:pPr>
        <w:spacing w:after="80" w:line="300" w:lineRule="auto"/>
        <w:jc w:val="right"/>
        <w:bidi w:val="1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12B"/>
          <w:sz w:val="21"/>
        </w:rPr>
        <w:t>گزینه‌ها، توصیه Program/PO و تأیید CCB</w:t>
      </w:r>
    </w:p>
    <w:p>
      <w:pPr>
        <w:spacing w:after="80" w:line="300" w:lineRule="auto"/>
        <w:jc w:val="right"/>
        <w:bidi w:val="1"/>
        <w:numPr>
          <w:ilvl w:val="0"/>
          <w:numId w:val="35"/>
        </w:numPr>
      </w:pPr>
      <w:r>
        <w:rPr>
          <w:rFonts w:ascii="DejaVu Sans" w:hAnsi="DejaVu Sans" w:cs="DejaVu Sans" w:eastAsia="DejaVu Sans"/>
          <w:color w:val="17212B"/>
          <w:sz w:val="21"/>
        </w:rPr>
        <w:t>Baseline updates، communication و follow-up metric</w:t>
      </w:r>
    </w:p>
    <w:p>
      <w:pPr>
        <w:pStyle w:val="Heading1"/>
        <w:jc w:val="right"/>
        <w:bidi w:val="1"/>
        <w:keepNext/>
      </w:pPr>
      <w:r>
        <w:rPr>
          <w:rFonts w:ascii="DejaVu Sans" w:hAnsi="DejaVu Sans" w:cs="DejaVu Sans" w:eastAsia="DejaVu Sans"/>
          <w:b/>
          <w:color w:val="2E74B5"/>
          <w:sz w:val="32"/>
        </w:rPr>
        <w:t>ضمیمه E. پرسش‌های باز قبل از Baseline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شخص حقوقی، ساختار قرارداد و مسئولیت CLADORA در رومانی چیست؟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دامنه حسابداری رسمی V1 و مرز اتصال به حسابدار/نرم‌افزار خارجی چیست؟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حداقل قالب‌های قانونی و کانال‌های اطلاع‌رسانی برای Association چیست؟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Bank/PSP partner و سطح مجاز payment initiation چیست؟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کدام سیستم‌های رقیب امکان export/API مجاز و قابل اتکا دارند؟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کدام سه archetype ساختمان برای پایلوت بیشترین ارزش و کمترین ریسک را دارند؟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قیمت قابل قبول Association، Owner و Manager و هزینه onboarding واقعی چقدر است؟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Retention و نمایش بدهی/اطلاعات ساکن در هر use case چه مبنایی دارد؟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کدام integrationها برای فروش شرط لازم و کدام فقط مزیت‌اند؟</w:t>
      </w:r>
    </w:p>
    <w:p>
      <w:pPr>
        <w:spacing w:after="80" w:line="300" w:lineRule="auto"/>
        <w:jc w:val="right"/>
        <w:bidi w:val="1"/>
        <w:numPr>
          <w:ilvl w:val="0"/>
          <w:numId w:val="36"/>
        </w:numPr>
      </w:pPr>
      <w:r>
        <w:rPr>
          <w:rFonts w:ascii="DejaVu Sans" w:hAnsi="DejaVu Sans" w:cs="DejaVu Sans" w:eastAsia="DejaVu Sans"/>
          <w:color w:val="17212B"/>
          <w:sz w:val="21"/>
        </w:rPr>
        <w:t>چه KPI و آستانه‌ای ادامه سرمایه‌گذاری پس از ماه ۶ و ۱۲ را توجیه می‌کند؟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9" w:space="0" w:color="13847C"/>
          <w:left w:val="single" w:sz="9" w:space="0" w:color="13847C"/>
          <w:bottom w:val="single" w:sz="9" w:space="0" w:color="13847C"/>
          <w:right w:val="single" w:sz="9" w:space="0" w:color="13847C"/>
          <w:insideH w:val="single" w:sz="9" w:space="0" w:color="13847C"/>
          <w:insideV w:val="single" w:sz="9" w:space="0" w:color="13847C"/>
        </w:tblBorders>
        <w:tblLayout w:type="fixed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7F5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right"/>
              <w:bidi w:val="1"/>
            </w:pPr>
            <w:r>
              <w:rPr>
                <w:rFonts w:ascii="DejaVu Sans" w:hAnsi="DejaVu Sans" w:cs="DejaVu Sans" w:eastAsia="DejaVu Sans"/>
                <w:b/>
                <w:color w:val="13847C"/>
                <w:sz w:val="20"/>
              </w:rPr>
              <w:t xml:space="preserve">تصمیم نهایی این نسخه: </w:t>
            </w:r>
            <w:r>
              <w:rPr>
                <w:rFonts w:ascii="DejaVu Sans" w:hAnsi="DejaVu Sans" w:cs="DejaVu Sans" w:eastAsia="DejaVu Sans"/>
                <w:color w:val="17212B"/>
                <w:sz w:val="20"/>
              </w:rPr>
              <w:t>نام محصول CLADORA تثبیت می‌شود. در Baseline اول، دامنه Must باید بر Association OS + Owner Portfolio و قابلیت مهاجرت متمرکز بماند؛ Management Company OS با همان هسته‌ها و پس از اثبات پایلوت مقیاس می‌گیرد.</w:t>
            </w:r>
          </w:p>
        </w:tc>
      </w:tr>
    </w:tbl>
    <w:p>
      <w:pPr>
        <w:spacing w:after="40"/>
      </w:pPr>
    </w:p>
    <w:p>
      <w:pPr>
        <w:spacing w:before="0" w:after="0" w:line="300" w:lineRule="auto"/>
        <w:jc w:val="center"/>
        <w:bidi w:val="1"/>
      </w:pPr>
      <w:r>
        <w:rPr>
          <w:rFonts w:ascii="DejaVu Sans" w:hAnsi="DejaVu Sans" w:cs="DejaVu Sans" w:eastAsia="DejaVu Sans"/>
          <w:i w:val="0"/>
          <w:color w:val="667085"/>
          <w:sz w:val="20"/>
        </w:rPr>
        <w:t>پایان سند — CLD-PMP-001 — نسخه ۱.۰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DejaVu Sans" w:hAnsi="DejaVu Sans" w:cs="DejaVu Sans" w:eastAsia="DejaVu Sans"/>
        <w:color w:val="667085"/>
        <w:sz w:val="17"/>
      </w:rPr>
      <w:t xml:space="preserve">نسخه ۱.۰  |  پیش‌نویس اجرایی  |  صفحه </w:t>
    </w:r>
    <w:r>
      <w:rPr>
        <w:rFonts w:ascii="DejaVu Sans" w:hAnsi="DejaVu Sans" w:cs="DejaVu Sans" w:eastAsia="DejaVu Sans"/>
        <w:b/>
        <w:color w:val="17365D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" w:hAnsi="DejaVu Sans" w:cs="DejaVu Sans" w:eastAsia="DejaVu Sans"/>
        <w:b/>
        <w:color w:val="667085"/>
        <w:sz w:val="17"/>
      </w:rPr>
      <w:t>CLADORA  |  PROJECT MANAGEMENT PLAN  |  ROMANIA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right="540" w:hanging="270"/>
      </w:pPr>
      <w:rPr>
        <w:rFonts w:ascii="DejaVu Sans" w:hAnsi="DejaVu Sans" w:cs="DejaVu Sans"/>
      </w:rPr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DejaVu Sans" w:hAnsi="DejaVu Sans" w:cs="DejaVu Sans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DejaVu Sans" w:hAnsi="DejaVu Sans" w:cs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DejaVu Sans" w:hAnsi="DejaVu Sans" w:cs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DejaVu Sans" w:hAnsi="DejaVu Sans" w:cs="DejaVu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 w:cs="DejaVu Sans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13847C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CLADORA — Project Management Plan v1.0</dc:title>
  <dc:subject>طرح جامع مدیریت پروژه پلتفرم CLADORA برای رومانی</dc:subject>
  <dc:creator>CLADORA Product Steering Committee</dc:creator>
  <cp:keywords>CLADORA, Romania, property management, association, accounting, portfolio, migration</cp:keywords>
  <dc:description>Draft for validation — 20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