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" cy="822960"/>
            <wp:docPr id="1" name="Picture 1" descr="نماد CLADORA" title="نماد CLADOR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dora-symbol-2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  <w:bidi w:val="1"/>
      </w:pPr>
      <w:r>
        <w:rPr>
          <w:rFonts w:ascii="DejaVu Sans" w:hAnsi="DejaVu Sans" w:cs="DejaVu Sans"/>
          <w:b/>
          <w:color w:val="000000"/>
          <w:sz w:val="50"/>
        </w:rPr>
        <w:t>راهنمای نقش‌ها منوها و مسیرهای کاربری CLADORA</w:t>
      </w:r>
    </w:p>
    <w:p>
      <w:pPr>
        <w:jc w:val="center"/>
        <w:bidi w:val="1"/>
      </w:pPr>
      <w:r>
        <w:rPr>
          <w:rFonts w:ascii="DejaVu Sans" w:hAnsi="DejaVu Sans" w:cs="DejaVu Sans"/>
          <w:color w:val="486581"/>
          <w:sz w:val="24"/>
        </w:rPr>
        <w:t>کنترل پلتفرم فضای مشتری دعوت مدیر اصلی و ورود امن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80"/>
        <w:gridCol w:w="6192"/>
      </w:tblGrid>
      <w:tr>
        <w:tc>
          <w:tcPr>
            <w:tcW w:type="dxa" w:w="517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color w:val="102A43"/>
                <w:sz w:val="21"/>
              </w:rPr>
              <w:t>نسخه</w:t>
            </w:r>
          </w:p>
        </w:tc>
        <w:tc>
          <w:tcPr>
            <w:tcW w:type="dxa" w:w="517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DejaVu Sans" w:hAnsi="DejaVu Sans" w:cs="DejaVu Sans"/>
                <w:color w:val="102A43"/>
                <w:sz w:val="21"/>
              </w:rPr>
              <w:t>1.1</w:t>
            </w:r>
          </w:p>
        </w:tc>
      </w:tr>
      <w:tr>
        <w:tc>
          <w:tcPr>
            <w:tcW w:type="dxa" w:w="5170"/>
            <w:shd w:fill="F3F7F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color w:val="102A43"/>
                <w:sz w:val="21"/>
              </w:rPr>
              <w:t>تاریخ مبنا</w:t>
            </w:r>
          </w:p>
        </w:tc>
        <w:tc>
          <w:tcPr>
            <w:tcW w:type="dxa" w:w="5170"/>
            <w:shd w:fill="F3F7F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DejaVu Sans" w:hAnsi="DejaVu Sans" w:cs="DejaVu Sans"/>
                <w:color w:val="102A43"/>
                <w:sz w:val="21"/>
              </w:rPr>
              <w:t>24 سپتامبر 2026</w:t>
            </w:r>
          </w:p>
        </w:tc>
      </w:tr>
      <w:tr>
        <w:tc>
          <w:tcPr>
            <w:tcW w:type="dxa" w:w="517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color w:val="102A43"/>
                <w:sz w:val="21"/>
              </w:rPr>
              <w:t>وضعیت</w:t>
            </w:r>
          </w:p>
        </w:tc>
        <w:tc>
          <w:tcPr>
            <w:tcW w:type="dxa" w:w="517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DejaVu Sans" w:hAnsi="DejaVu Sans" w:cs="DejaVu Sans"/>
                <w:color w:val="102A43"/>
                <w:sz w:val="21"/>
              </w:rPr>
              <w:t>آماده بازبینی مشترک و کنترل استقرار</w:t>
            </w:r>
          </w:p>
        </w:tc>
      </w:tr>
      <w:tr>
        <w:tc>
          <w:tcPr>
            <w:tcW w:type="dxa" w:w="5170"/>
            <w:shd w:fill="F3F7F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color w:val="102A43"/>
                <w:sz w:val="21"/>
              </w:rPr>
              <w:t>مخاطب</w:t>
            </w:r>
          </w:p>
        </w:tc>
        <w:tc>
          <w:tcPr>
            <w:tcW w:type="dxa" w:w="5170"/>
            <w:shd w:fill="F3F7F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DejaVu Sans" w:hAnsi="DejaVu Sans" w:cs="DejaVu Sans"/>
                <w:color w:val="102A43"/>
                <w:sz w:val="21"/>
              </w:rPr>
              <w:t>مدیریت CLADORA و تیم فنی و عملیاتی</w:t>
            </w:r>
          </w:p>
        </w:tc>
      </w:tr>
    </w:tbl>
    <w:p>
      <w:pPr>
        <w:jc w:val="right"/>
        <w:bidi w:val="1"/>
      </w:pPr>
      <w:r>
        <w:rPr>
          <w:rFonts w:ascii="DejaVu Sans" w:hAnsi="DejaVu Sans" w:cs="DejaVu Sans"/>
          <w:color w:val="000000"/>
          <w:sz w:val="22"/>
        </w:rPr>
        <w:t>این راهنما مرجع عملیاتی بررسی نقش‌ها، منوها، حدود دسترسی و جریان دعوت مدیر ساختمان است. نتیجه اصلی این است که دسترسی فقط با نقش تعیین نمی‌شود و باید هم‌زمان Context، Permission، Module یا Entitlement، Scope، وضعیت Workspace و سطح نشست امنیتی معتبر باشند.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DejaVu Sans" w:hAnsi="DejaVu Sans" w:cs="DejaVu Sans"/>
          <w:color w:val="000000"/>
          <w:sz w:val="34"/>
        </w:rPr>
        <w:t>فهرست مطالب</w:t>
      </w:r>
    </w:p>
    <w:p>
      <w:pPr>
        <w:ind w:left="360" w:right="360"/>
        <w:jc w:val="right"/>
        <w:bidi w:val="1"/>
      </w:pPr>
      <w:r>
        <w:rPr>
          <w:rFonts w:ascii="DejaVu Sans" w:hAnsi="DejaVu Sans" w:cs="DejaVu Sans"/>
          <w:color w:val="102A43"/>
          <w:sz w:val="21"/>
        </w:rPr>
        <w:t>1. هدف و روش استفاده</w:t>
      </w:r>
    </w:p>
    <w:p>
      <w:pPr>
        <w:ind w:left="360" w:right="360"/>
        <w:jc w:val="right"/>
        <w:bidi w:val="1"/>
      </w:pPr>
      <w:r>
        <w:rPr>
          <w:rFonts w:ascii="DejaVu Sans" w:hAnsi="DejaVu Sans" w:cs="DejaVu Sans"/>
          <w:color w:val="102A43"/>
          <w:sz w:val="21"/>
        </w:rPr>
        <w:t>2. مدل کلان سامانه</w:t>
      </w:r>
    </w:p>
    <w:p>
      <w:pPr>
        <w:ind w:left="360" w:right="360"/>
        <w:jc w:val="right"/>
        <w:bidi w:val="1"/>
      </w:pPr>
      <w:r>
        <w:rPr>
          <w:rFonts w:ascii="DejaVu Sans" w:hAnsi="DejaVu Sans" w:cs="DejaVu Sans"/>
          <w:color w:val="102A43"/>
          <w:sz w:val="21"/>
        </w:rPr>
        <w:t>3. واژه‌نامه</w:t>
      </w:r>
    </w:p>
    <w:p>
      <w:pPr>
        <w:ind w:left="360" w:right="360"/>
        <w:jc w:val="right"/>
        <w:bidi w:val="1"/>
      </w:pPr>
      <w:r>
        <w:rPr>
          <w:rFonts w:ascii="DejaVu Sans" w:hAnsi="DejaVu Sans" w:cs="DejaVu Sans"/>
          <w:color w:val="102A43"/>
          <w:sz w:val="21"/>
        </w:rPr>
        <w:t>4. چرخه عمر Workspace</w:t>
      </w:r>
    </w:p>
    <w:p>
      <w:pPr>
        <w:ind w:left="360" w:right="360"/>
        <w:jc w:val="right"/>
        <w:bidi w:val="1"/>
      </w:pPr>
      <w:r>
        <w:rPr>
          <w:rFonts w:ascii="DejaVu Sans" w:hAnsi="DejaVu Sans" w:cs="DejaVu Sans"/>
          <w:color w:val="102A43"/>
          <w:sz w:val="21"/>
        </w:rPr>
        <w:t>5. نقش‌های داخلی پلتفرم</w:t>
      </w:r>
    </w:p>
    <w:p>
      <w:pPr>
        <w:ind w:left="360" w:right="360"/>
        <w:jc w:val="right"/>
        <w:bidi w:val="1"/>
      </w:pPr>
      <w:r>
        <w:rPr>
          <w:rFonts w:ascii="DejaVu Sans" w:hAnsi="DejaVu Sans" w:cs="DejaVu Sans"/>
          <w:color w:val="102A43"/>
          <w:sz w:val="21"/>
        </w:rPr>
        <w:t>6. منوهای کنترل پلتفرم</w:t>
      </w:r>
    </w:p>
    <w:p>
      <w:pPr>
        <w:ind w:left="360" w:right="360"/>
        <w:jc w:val="right"/>
        <w:bidi w:val="1"/>
      </w:pPr>
      <w:r>
        <w:rPr>
          <w:rFonts w:ascii="DejaVu Sans" w:hAnsi="DejaVu Sans" w:cs="DejaVu Sans"/>
          <w:color w:val="102A43"/>
          <w:sz w:val="21"/>
        </w:rPr>
        <w:t>7. نقش‌های مشتری</w:t>
      </w:r>
    </w:p>
    <w:p>
      <w:pPr>
        <w:ind w:left="360" w:right="360"/>
        <w:jc w:val="right"/>
        <w:bidi w:val="1"/>
      </w:pPr>
      <w:r>
        <w:rPr>
          <w:rFonts w:ascii="DejaVu Sans" w:hAnsi="DejaVu Sans" w:cs="DejaVu Sans"/>
          <w:color w:val="102A43"/>
          <w:sz w:val="21"/>
        </w:rPr>
        <w:t>8. منوهای فضای مشتری</w:t>
      </w:r>
    </w:p>
    <w:p>
      <w:pPr>
        <w:ind w:left="360" w:right="360"/>
        <w:jc w:val="right"/>
        <w:bidi w:val="1"/>
      </w:pPr>
      <w:r>
        <w:rPr>
          <w:rFonts w:ascii="DejaVu Sans" w:hAnsi="DejaVu Sans" w:cs="DejaVu Sans"/>
          <w:color w:val="102A43"/>
          <w:sz w:val="21"/>
        </w:rPr>
        <w:t>9. نحوه دعوت مدیر اصلی توسط سوپرادمین</w:t>
      </w:r>
    </w:p>
    <w:p>
      <w:pPr>
        <w:ind w:left="360" w:right="360"/>
        <w:jc w:val="right"/>
        <w:bidi w:val="1"/>
      </w:pPr>
      <w:r>
        <w:rPr>
          <w:rFonts w:ascii="DejaVu Sans" w:hAnsi="DejaVu Sans" w:cs="DejaVu Sans"/>
          <w:color w:val="102A43"/>
          <w:sz w:val="21"/>
        </w:rPr>
        <w:t>10. مسیر کاربری مدیر ساختمان</w:t>
      </w:r>
    </w:p>
    <w:p>
      <w:pPr>
        <w:ind w:left="360" w:right="360"/>
        <w:jc w:val="right"/>
        <w:bidi w:val="1"/>
      </w:pPr>
      <w:r>
        <w:rPr>
          <w:rFonts w:ascii="DejaVu Sans" w:hAnsi="DejaVu Sans" w:cs="DejaVu Sans"/>
          <w:color w:val="102A43"/>
          <w:sz w:val="21"/>
        </w:rPr>
        <w:t>11. وضعیت فعلی Production</w:t>
      </w:r>
    </w:p>
    <w:p>
      <w:pPr>
        <w:ind w:left="360" w:right="360"/>
        <w:jc w:val="right"/>
        <w:bidi w:val="1"/>
      </w:pPr>
      <w:r>
        <w:rPr>
          <w:rFonts w:ascii="DejaVu Sans" w:hAnsi="DejaVu Sans" w:cs="DejaVu Sans"/>
          <w:color w:val="102A43"/>
          <w:sz w:val="21"/>
        </w:rPr>
        <w:t>12. مشکلات و فاصله‌های قابل پیگیری</w:t>
      </w:r>
    </w:p>
    <w:p>
      <w:pPr>
        <w:ind w:left="360" w:right="360"/>
        <w:jc w:val="right"/>
        <w:bidi w:val="1"/>
      </w:pPr>
      <w:r>
        <w:rPr>
          <w:rFonts w:ascii="DejaVu Sans" w:hAnsi="DejaVu Sans" w:cs="DejaVu Sans"/>
          <w:color w:val="102A43"/>
          <w:sz w:val="21"/>
        </w:rPr>
        <w:t>13. چک‌لیست تست مشترک</w:t>
      </w:r>
    </w:p>
    <w:p>
      <w:pPr>
        <w:ind w:left="360" w:right="360"/>
        <w:jc w:val="right"/>
        <w:bidi w:val="1"/>
      </w:pPr>
      <w:r>
        <w:rPr>
          <w:rFonts w:ascii="DejaVu Sans" w:hAnsi="DejaVu Sans" w:cs="DejaVu Sans"/>
          <w:color w:val="102A43"/>
          <w:sz w:val="21"/>
        </w:rPr>
        <w:t>14. منابع فنی داخلی</w:t>
      </w:r>
    </w:p>
    <w:p>
      <w:pPr>
        <w:ind w:left="360" w:right="360"/>
        <w:jc w:val="right"/>
        <w:bidi w:val="1"/>
      </w:pPr>
      <w:r>
        <w:rPr>
          <w:rFonts w:ascii="DejaVu Sans" w:hAnsi="DejaVu Sans" w:cs="DejaVu Sans"/>
          <w:color w:val="102A43"/>
          <w:sz w:val="21"/>
        </w:rPr>
        <w:t>15. ثبت تصمیم‌های بازبینی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color w:val="000000"/>
          <w:sz w:val="34"/>
        </w:rPr>
        <w:t>1. هدف و روش استفاده</w:t>
      </w:r>
    </w:p>
    <w:p>
      <w:pPr>
        <w:spacing w:after="140"/>
        <w:jc w:val="right"/>
        <w:bidi w:val="1"/>
      </w:pPr>
      <w:r>
        <w:rPr>
          <w:rFonts w:ascii="DejaVu Sans" w:hAnsi="DejaVu Sans" w:cs="DejaVu Sans"/>
          <w:color w:val="000000"/>
          <w:sz w:val="21"/>
        </w:rPr>
        <w:t>این سند برای پاسخ دقیق به چهار پرسش تهیه شده است: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1. هر اصطلاح در CLADORA چه معنایی دارد؟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2. هر نقش به کدام بخش تعلق دارد و چه حدودی دارد؟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3. هر منو تحت چه شرایطی نمایش داده می‌شود؟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4. سوپرادمین و مدیر ساختمان برای ایجاد و فعال‌سازی حساب چه مراحلی را طی می‌کنند؟</w:t>
      </w:r>
    </w:p>
    <w:p>
      <w:pPr>
        <w:spacing w:after="140"/>
        <w:jc w:val="right"/>
        <w:bidi w:val="1"/>
      </w:pPr>
      <w:r>
        <w:rPr>
          <w:rFonts w:ascii="DejaVu Sans" w:hAnsi="DejaVu Sans" w:cs="DejaVu Sans"/>
          <w:color w:val="000000"/>
          <w:sz w:val="21"/>
        </w:rPr>
        <w:t>این سند «راهنمای عملیاتی قابل بازبینی» است. در تعارض احتمالی، ترتیب مرجع چنین است: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1. کنترل دسترسی پایگاه‌داده و RLS؛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2. API و کنترل‌های سمت سرور؛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3. ماتریس نقش و مسیر در کد؛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4. نمایش یا عدم نمایش منو در رابط کاربری؛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5. این سند.</w:t>
      </w:r>
    </w:p>
    <w:p>
      <w:pPr>
        <w:spacing w:after="140"/>
        <w:jc w:val="right"/>
        <w:bidi w:val="1"/>
      </w:pPr>
      <w:r>
        <w:rPr>
          <w:rFonts w:ascii="DejaVu Sans" w:hAnsi="DejaVu Sans" w:cs="DejaVu Sans"/>
          <w:color w:val="000000"/>
          <w:sz w:val="21"/>
        </w:rPr>
        <w:t>نمایش یک منو به‌تنهایی مجوز دسترسی محسوب نمی‌شود. هر عملیات باید دوباره در API و پایگاه‌داده مجاز شناخته شود.</w:t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color w:val="000000"/>
          <w:sz w:val="34"/>
        </w:rPr>
        <w:t>2. مدل کلان سامانه</w:t>
      </w:r>
    </w:p>
    <w:p>
      <w:pPr>
        <w:spacing w:before="100" w:after="180"/>
        <w:jc w:val="center"/>
      </w:pPr>
      <w:r>
        <w:drawing>
          <wp:inline xmlns:a="http://schemas.openxmlformats.org/drawingml/2006/main" xmlns:pic="http://schemas.openxmlformats.org/drawingml/2006/picture">
            <wp:extent cx="5257800" cy="4283354"/>
            <wp:docPr id="2" name="Picture 2" descr="نمودار جداسازی Control Plane از Customer Data Plane" title="نمودار جداسازی Control Plane از Customer Data Pla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83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color w:val="000000"/>
          <w:sz w:val="26"/>
        </w:rPr>
        <w:t>2.1 جداسازی دو بخش اصلی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85"/>
        <w:gridCol w:w="2585"/>
        <w:gridCol w:w="2585"/>
        <w:gridCol w:w="2585"/>
      </w:tblGrid>
      <w:tr>
        <w:trPr>
          <w:cantSplit/>
          <w:tblHeader w:val="true"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7"/>
              </w:rPr>
              <w:t>بخش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7"/>
              </w:rPr>
              <w:t>کاربران اصلی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7"/>
              </w:rPr>
              <w:t>کاربرد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7"/>
              </w:rPr>
              <w:t>مسیر اصلی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کنترل پلتفرم (Control Plane)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کارکنان داخلی CLADORA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مشتری، قرارداد، طرح، Provisioning، ممیزی و پشتیبانی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/{lang}/platform/*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فضای مشتری (Customer Data Plane)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مدیر ساختمان، مدیر شرکت، رئیس، بازرس، مالک و ساکن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عملیات و اطلاعات همان Tenant/Workspace مجاز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/{lang}/app/*</w:t>
            </w:r>
          </w:p>
        </w:tc>
      </w:tr>
    </w:tbl>
    <w:p>
      <w:pPr>
        <w:spacing w:after="40"/>
      </w:pPr>
    </w:p>
    <w:p>
      <w:pPr>
        <w:spacing w:after="140"/>
        <w:jc w:val="right"/>
        <w:bidi w:val="1"/>
      </w:pPr>
      <w:r>
        <w:rPr>
          <w:rFonts w:ascii="DejaVu Sans" w:hAnsi="DejaVu Sans" w:cs="DejaVu Sans"/>
          <w:color w:val="000000"/>
          <w:sz w:val="21"/>
        </w:rPr>
        <w:t>سوپرادمین پلتفرم به‌صورت عادی مجاز به خواندن داده‌های خصوصی مالی یا ساختمانی مشتری نیست. ورود پشتیبانی به داده حساس فقط با دسترسی موقت، ثبت‌شده و دوکنترلی انجام می‌شود.</w:t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color w:val="000000"/>
          <w:sz w:val="34"/>
        </w:rPr>
        <w:t>3. واژه‌نامه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70"/>
        <w:gridCol w:w="5170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7"/>
              </w:rPr>
              <w:t>اصطلاح</w:t>
            </w:r>
          </w:p>
        </w:tc>
        <w:tc>
          <w:tcPr>
            <w:tcW w:type="dxa" w:w="727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7"/>
              </w:rPr>
              <w:t>تعریف عملیاتی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Tenant</w:t>
            </w:r>
          </w:p>
        </w:tc>
        <w:tc>
          <w:tcPr>
            <w:tcW w:type="dxa" w:w="727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مرز حقوقی و داده‌ای یک مشتری؛ عضویت‌ها، نقش‌ها و اطلاعات مشتری به آن وابسته‌اند.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Workspace</w:t>
            </w:r>
          </w:p>
        </w:tc>
        <w:tc>
          <w:tcPr>
            <w:tcW w:type="dxa" w:w="727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محیط عملیاتی یک مشتری در CLADORA که به یک Tenant متصل است.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Workspace Type</w:t>
            </w:r>
          </w:p>
        </w:tc>
        <w:tc>
          <w:tcPr>
            <w:tcW w:type="dxa" w:w="727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 xml:space="preserve">نوع محیط: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ASSOCIATION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،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PROPERTY_MANAGER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،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OWNER_PORTFOLIO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یا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HYBRID</w:t>
            </w:r>
            <w:r>
              <w:rPr>
                <w:rFonts w:ascii="DejaVu Sans" w:hAnsi="DejaVu Sans" w:cs="DejaVu Sans"/>
                <w:color w:val="000000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Environment</w:t>
            </w:r>
          </w:p>
        </w:tc>
        <w:tc>
          <w:tcPr>
            <w:tcW w:type="dxa" w:w="727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 xml:space="preserve">نوع محیط اجرایی: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PILOT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برای آزمایش کنترل‌شده یا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PRODUCTION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برای بهره‌برداری واقعی.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Lifecycle</w:t>
            </w:r>
          </w:p>
        </w:tc>
        <w:tc>
          <w:tcPr>
            <w:tcW w:type="dxa" w:w="727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وضعیت تجاری و عملیاتی Workspace از سرنخ تا بایگانی.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Platform Role</w:t>
            </w:r>
          </w:p>
        </w:tc>
        <w:tc>
          <w:tcPr>
            <w:tcW w:type="dxa" w:w="727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نقش کاربر داخلی CLADORA در Control Plane.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Customer Role</w:t>
            </w:r>
          </w:p>
        </w:tc>
        <w:tc>
          <w:tcPr>
            <w:tcW w:type="dxa" w:w="727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نقش کاربر مشتری در Customer Data Plane.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Assignment</w:t>
            </w:r>
          </w:p>
        </w:tc>
        <w:tc>
          <w:tcPr>
            <w:tcW w:type="dxa" w:w="727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تخصیص زمانی یک کارشناس داخلی CLADORA به Workspace و Scope مشخص.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Membership</w:t>
            </w:r>
          </w:p>
        </w:tc>
        <w:tc>
          <w:tcPr>
            <w:tcW w:type="dxa" w:w="727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اتصال یک کاربر احراز هویت‌شده به Tenant و نقش مشتری.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Context</w:t>
            </w:r>
          </w:p>
        </w:tc>
        <w:tc>
          <w:tcPr>
            <w:tcW w:type="dxa" w:w="727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زمینه فعال کاربر شامل Tenant، نقش و Scope. یک کاربر ممکن است چند Context داشته باشد.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Scope</w:t>
            </w:r>
          </w:p>
        </w:tc>
        <w:tc>
          <w:tcPr>
            <w:tcW w:type="dxa" w:w="727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 xml:space="preserve">محدوده اثر دسترسی. در Customer Data Plane سلسله‌مراتب آن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workspace &gt; property &gt; building &gt; unit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است.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Permission</w:t>
            </w:r>
          </w:p>
        </w:tc>
        <w:tc>
          <w:tcPr>
            <w:tcW w:type="dxa" w:w="727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 xml:space="preserve">اجازه یک عمل یا خواندن مشخص؛ برای مثال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finance.ledger.read</w:t>
            </w:r>
            <w:r>
              <w:rPr>
                <w:rFonts w:ascii="DejaVu Sans" w:hAnsi="DejaVu Sans" w:cs="DejaVu Sans"/>
                <w:color w:val="000000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Module</w:t>
            </w:r>
          </w:p>
        </w:tc>
        <w:tc>
          <w:tcPr>
            <w:tcW w:type="dxa" w:w="727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 xml:space="preserve">ماژول فنی/عملیاتی فعال؛ برای مثال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accounting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یا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maintenance</w:t>
            </w:r>
            <w:r>
              <w:rPr>
                <w:rFonts w:ascii="DejaVu Sans" w:hAnsi="DejaVu Sans" w:cs="DejaVu Sans"/>
                <w:color w:val="000000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Entitlement</w:t>
            </w:r>
          </w:p>
        </w:tc>
        <w:tc>
          <w:tcPr>
            <w:tcW w:type="dxa" w:w="727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 xml:space="preserve">حق قراردادی استفاده از قابلیت یا ماژول؛ برای مثال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module.documents</w:t>
            </w:r>
            <w:r>
              <w:rPr>
                <w:rFonts w:ascii="DejaVu Sans" w:hAnsi="DejaVu Sans" w:cs="DejaVu Sans"/>
                <w:color w:val="000000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AAL2</w:t>
            </w:r>
          </w:p>
        </w:tc>
        <w:tc>
          <w:tcPr>
            <w:tcW w:type="dxa" w:w="727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نشست ورود با عامل دوم تأییدشده؛ در CLADORA از TOTP برنامه Authenticator استفاده می‌شود.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Primary Administrator</w:t>
            </w:r>
          </w:p>
        </w:tc>
        <w:tc>
          <w:tcPr>
            <w:tcW w:type="dxa" w:w="727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اولین مدیر مشتری که توسط Control Plane دعوت می‌شود و عضویت اصلی Workspace را می‌گیرد.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Provisioning</w:t>
            </w:r>
          </w:p>
        </w:tc>
        <w:tc>
          <w:tcPr>
            <w:tcW w:type="dxa" w:w="727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مرحله آماده‌سازی کنترل‌شده Workspace پیش از فعال‌سازی.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</w:pPr>
      <w:r>
        <w:rPr>
          <w:rFonts w:ascii="DejaVu Sans" w:hAnsi="DejaVu Sans" w:cs="DejaVu Sans"/>
          <w:color w:val="000000"/>
          <w:sz w:val="26"/>
        </w:rPr>
        <w:t>3.1 فرمول دسترسی</w:t>
      </w:r>
    </w:p>
    <w:p>
      <w:pPr>
        <w:spacing w:after="140"/>
        <w:jc w:val="right"/>
        <w:bidi w:val="1"/>
      </w:pPr>
      <w:r>
        <w:rPr>
          <w:rFonts w:ascii="DejaVu Sans" w:hAnsi="DejaVu Sans" w:cs="DejaVu Sans"/>
          <w:color w:val="000000"/>
          <w:sz w:val="21"/>
        </w:rPr>
        <w:t>دسترسی پلتفرم حاصل ترکیب نقش، تخصیص، Scope، زمان اعتبار و وضعیت Workspace است.</w:t>
      </w:r>
    </w:p>
    <w:p>
      <w:pPr>
        <w:spacing w:after="140"/>
        <w:jc w:val="right"/>
        <w:bidi w:val="1"/>
      </w:pPr>
      <w:r>
        <w:rPr>
          <w:rFonts w:ascii="DejaVu Sans" w:hAnsi="DejaVu Sans" w:cs="DejaVu Sans"/>
          <w:color w:val="000000"/>
          <w:sz w:val="21"/>
        </w:rPr>
        <w:t>در فضای مشتری، تصمیم نهایی باید این مدل را رعایت کند:</w:t>
      </w:r>
    </w:p>
    <w:p>
      <w:pPr>
        <w:spacing w:after="140"/>
        <w:jc w:val="right"/>
        <w:bidi w:val="1"/>
      </w:pPr>
      <w:r>
        <w:rPr>
          <w:rFonts w:ascii="DejaVu Sans Mono" w:hAnsi="DejaVu Sans Mono" w:cs="DejaVu Sans Mono"/>
          <w:color w:val="102A43"/>
          <w:sz w:val="20"/>
        </w:rPr>
        <w:t>Common Gates AND NOT(Applicable Scoped Deny) AND Any(Applicable Allow)</w:t>
      </w:r>
    </w:p>
    <w:p>
      <w:pPr>
        <w:spacing w:after="140"/>
        <w:jc w:val="right"/>
        <w:bidi w:val="1"/>
      </w:pPr>
      <w:r>
        <w:rPr>
          <w:rFonts w:ascii="DejaVu Sans" w:hAnsi="DejaVu Sans" w:cs="DejaVu Sans"/>
          <w:color w:val="000000"/>
          <w:sz w:val="21"/>
        </w:rPr>
        <w:t>بنابراین نقش به‌تنهایی کافی نیست؛ ماژول، Entitlement، Permission، Scope، Context و وضعیت نشست نیز بررسی می‌شوند.</w:t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color w:val="000000"/>
          <w:sz w:val="34"/>
        </w:rPr>
        <w:t>4. چرخه عمر Workspace</w:t>
      </w:r>
    </w:p>
    <w:p>
      <w:pPr>
        <w:spacing w:before="100" w:after="180"/>
        <w:jc w:val="center"/>
      </w:pPr>
      <w:r>
        <w:drawing>
          <wp:inline xmlns:a="http://schemas.openxmlformats.org/drawingml/2006/main" xmlns:pic="http://schemas.openxmlformats.org/drawingml/2006/picture">
            <wp:extent cx="5257800" cy="6694932"/>
            <wp:docPr id="3" name="Picture 3" descr="نمودار چرخه عمر Workspace از LEAD تا ARCHIVED" title="نمودار چرخه عمر Workspace از LEAD تا ARCHIV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694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right"/>
        <w:bidi w:val="1"/>
      </w:pPr>
      <w:r>
        <w:rPr>
          <w:rFonts w:ascii="DejaVu Sans" w:hAnsi="DejaVu Sans" w:cs="DejaVu Sans"/>
          <w:color w:val="000000"/>
          <w:sz w:val="21"/>
        </w:rPr>
        <w:t>قواعد مهم: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 xml:space="preserve">• دعوت مدیر اصلی فقط در وضعیت </w:t>
      </w:r>
      <w:r>
        <w:rPr>
          <w:rFonts w:ascii="DejaVu Sans Mono" w:hAnsi="DejaVu Sans Mono" w:cs="DejaVu Sans Mono"/>
          <w:color w:val="102A43"/>
          <w:sz w:val="19"/>
        </w:rPr>
        <w:t>PROVISIONING</w:t>
      </w:r>
      <w:r>
        <w:rPr>
          <w:rFonts w:ascii="DejaVu Sans" w:hAnsi="DejaVu Sans" w:cs="DejaVu Sans"/>
          <w:color w:val="000000"/>
          <w:sz w:val="20"/>
        </w:rPr>
        <w:t xml:space="preserve"> مجاز است.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• دعوت 1 تا 72 ساعت اعتبار دارد؛ رابط فعلی گزینه‌های 24، 48 و 72 ساعت را ارائه می‌کند.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 xml:space="preserve">• </w:t>
      </w:r>
      <w:r>
        <w:rPr>
          <w:rFonts w:ascii="DejaVu Sans Mono" w:hAnsi="DejaVu Sans Mono" w:cs="DejaVu Sans Mono"/>
          <w:color w:val="102A43"/>
          <w:sz w:val="19"/>
        </w:rPr>
        <w:t>ARCHIVED</w:t>
      </w:r>
      <w:r>
        <w:rPr>
          <w:rFonts w:ascii="DejaVu Sans" w:hAnsi="DejaVu Sans" w:cs="DejaVu Sans"/>
          <w:color w:val="000000"/>
          <w:sz w:val="20"/>
        </w:rPr>
        <w:t xml:space="preserve"> نهایی است.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• فعال‌سازی Workspace تولیدی بدون مدیر اصلی پذیرفته‌شده، عضویت فعال، MFA تأییدشده و تکمیل Onboarding مسدود است.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 xml:space="preserve">• Workspaceهای </w:t>
      </w:r>
      <w:r>
        <w:rPr>
          <w:rFonts w:ascii="DejaVu Sans Mono" w:hAnsi="DejaVu Sans Mono" w:cs="DejaVu Sans Mono"/>
          <w:color w:val="102A43"/>
          <w:sz w:val="19"/>
        </w:rPr>
        <w:t>ACTIVE</w:t>
      </w:r>
      <w:r>
        <w:rPr>
          <w:rFonts w:ascii="DejaVu Sans" w:hAnsi="DejaVu Sans" w:cs="DejaVu Sans"/>
          <w:color w:val="000000"/>
          <w:sz w:val="20"/>
        </w:rPr>
        <w:t xml:space="preserve"> موجود نباید برای آزمایش دعوت به عقب برگردانده شوند.</w:t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color w:val="000000"/>
          <w:sz w:val="34"/>
        </w:rPr>
        <w:t>5. نقش‌های داخلی پلتفرم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47"/>
        <w:gridCol w:w="3447"/>
        <w:gridCol w:w="3447"/>
      </w:tblGrid>
      <w:tr>
        <w:trPr>
          <w:cantSplit/>
          <w:tblHeader w:val="true"/>
        </w:trPr>
        <w:tc>
          <w:tcPr>
            <w:tcW w:type="dxa" w:w="230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7"/>
              </w:rPr>
              <w:t>نقش</w:t>
            </w:r>
          </w:p>
        </w:tc>
        <w:tc>
          <w:tcPr>
            <w:tcW w:type="dxa" w:w="316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7"/>
              </w:rPr>
              <w:t>مسئولیت اصلی</w:t>
            </w:r>
          </w:p>
        </w:tc>
        <w:tc>
          <w:tcPr>
            <w:tcW w:type="dxa" w:w="468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7"/>
              </w:rPr>
              <w:t>حدود مهم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PLATFORM_SUPER_ADMIN</w:t>
            </w:r>
          </w:p>
        </w:tc>
        <w:tc>
          <w:tcPr>
            <w:tcW w:type="dxa" w:w="316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مدیریت کاربران داخلی، تنظیمات کلان، چرخه Workspace و عملیات اضطراری</w:t>
            </w:r>
          </w:p>
        </w:tc>
        <w:tc>
          <w:tcPr>
            <w:tcW w:type="dxa" w:w="468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دسترسی عادی به داده خصوصی مشتری ندارد؛ تأیید دسترسی پشتیبانی خودش ممنوع است.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PLATFORM_OPERATIONS</w:t>
            </w:r>
          </w:p>
        </w:tc>
        <w:tc>
          <w:tcPr>
            <w:tcW w:type="dxa" w:w="316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Workspaceهای تخصیص‌یافته، Provisioning و دعوت مدیر اصلی</w:t>
            </w:r>
          </w:p>
        </w:tc>
        <w:tc>
          <w:tcPr>
            <w:tcW w:type="dxa" w:w="468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فقط Workspace تخصیص‌یافته؛ قرارداد و بایگانی خارج از اختیار عادی است.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PLATFORM_FINANCE</w:t>
            </w:r>
          </w:p>
        </w:tc>
        <w:tc>
          <w:tcPr>
            <w:tcW w:type="dxa" w:w="316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قرارداد، طرح، Entitlement و اطلاعات تجاری</w:t>
            </w:r>
          </w:p>
        </w:tc>
        <w:tc>
          <w:tcPr>
            <w:tcW w:type="dxa" w:w="468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به داده عملیاتی ساختمان دسترسی ندارد.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PLATFORM_SUPPORT</w:t>
            </w:r>
          </w:p>
        </w:tc>
        <w:tc>
          <w:tcPr>
            <w:tcW w:type="dxa" w:w="316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تشخیص فنی و درخواست دسترسی پشتیبانی</w:t>
            </w:r>
          </w:p>
        </w:tc>
        <w:tc>
          <w:tcPr>
            <w:tcW w:type="dxa" w:w="468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دسترسی حساس فقط موقت و دوکنترلی؛ تغییر نقش و قرارداد ممنوع است.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PLATFORM_AUDITOR</w:t>
            </w:r>
          </w:p>
        </w:tc>
        <w:tc>
          <w:tcPr>
            <w:tcW w:type="dxa" w:w="316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ممیزی Control Plane</w:t>
            </w:r>
          </w:p>
        </w:tc>
        <w:tc>
          <w:tcPr>
            <w:tcW w:type="dxa" w:w="468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فقط خواندنی؛ تغییر داده و RPCهای جهش وضعیت ممنوع است.</w:t>
            </w:r>
          </w:p>
        </w:tc>
      </w:tr>
    </w:tbl>
    <w:p>
      <w:pPr>
        <w:spacing w:after="40"/>
      </w:pPr>
    </w:p>
    <w:p>
      <w:pPr>
        <w:spacing w:after="140"/>
        <w:jc w:val="right"/>
        <w:bidi w:val="1"/>
      </w:pPr>
      <w:r>
        <w:rPr>
          <w:rFonts w:ascii="DejaVu Sans" w:hAnsi="DejaVu Sans" w:cs="DejaVu Sans"/>
          <w:color w:val="000000"/>
          <w:sz w:val="21"/>
        </w:rPr>
        <w:t xml:space="preserve">تمام نقش‌های پلتفرم به TOTP و نشست </w:t>
      </w:r>
      <w:r>
        <w:rPr>
          <w:rFonts w:ascii="DejaVu Sans Mono" w:hAnsi="DejaVu Sans Mono" w:cs="DejaVu Sans Mono"/>
          <w:color w:val="102A43"/>
          <w:sz w:val="20"/>
        </w:rPr>
        <w:t>AAL2</w:t>
      </w:r>
      <w:r>
        <w:rPr>
          <w:rFonts w:ascii="DejaVu Sans" w:hAnsi="DejaVu Sans" w:cs="DejaVu Sans"/>
          <w:color w:val="000000"/>
          <w:sz w:val="21"/>
        </w:rPr>
        <w:t xml:space="preserve"> نیاز دارند.</w:t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color w:val="000000"/>
          <w:sz w:val="34"/>
        </w:rPr>
        <w:t>6. منوهای کنترل پلتفرم</w:t>
      </w:r>
    </w:p>
    <w:p>
      <w:pPr>
        <w:spacing w:after="140"/>
        <w:jc w:val="right"/>
        <w:bidi w:val="1"/>
      </w:pPr>
      <w:r>
        <w:rPr>
          <w:rFonts w:ascii="DejaVu Sans" w:hAnsi="DejaVu Sans" w:cs="DejaVu Sans"/>
          <w:color w:val="000000"/>
          <w:sz w:val="21"/>
        </w:rPr>
        <w:t>نمادها: ✓ نمایش برای نقش، — عدم نمایش.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77"/>
        <w:gridCol w:w="1477"/>
        <w:gridCol w:w="1477"/>
        <w:gridCol w:w="1477"/>
        <w:gridCol w:w="1477"/>
        <w:gridCol w:w="1477"/>
        <w:gridCol w:w="1477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6"/>
              </w:rPr>
              <w:t>منوی فارسی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center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6"/>
              </w:rPr>
              <w:t>Super Admin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center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6"/>
              </w:rPr>
              <w:t>Operations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center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6"/>
              </w:rPr>
              <w:t>Finance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center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6"/>
              </w:rPr>
              <w:t>Support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center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6"/>
              </w:rPr>
              <w:t>Auditor</w:t>
            </w:r>
          </w:p>
        </w:tc>
        <w:tc>
          <w:tcPr>
            <w:tcW w:type="dxa" w:w="360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6"/>
              </w:rPr>
              <w:t>کاربرد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نمای کلی پلتفرم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360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سلامت و شاخص‌های کلی مجاز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محیط‌های کاری و مشتریان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—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360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 xml:space="preserve">فهرست Workspaceها و دعوت مدیر اصلی در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PROVISIONING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قراردادها و صدور صورت‌حساب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—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—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360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قراردادها، طرح‌ها و Entitlementهای تجاری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طرح‌ها و دسترسی‌های مجاز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—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360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نسخه طرح و کاتالوگ قابلیت‌ها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کاربران داخلی پلتفرم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—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—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—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360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کارکنان داخلی CLADORA؛ محل دعوت مدیر ساختمان نیست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تخصیص مشتریان به کارشناسان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—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—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360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Assignmentهای Workspace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سوابق آماده‌سازی و فعال‌سازی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—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—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360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Provisioning run و task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نگهداری و دستور حقوقی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—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—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360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Retention و Legal Hold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گزارش‌های ممیزی و امنیت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—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—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—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360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رویدادهای امنیتی و ممیزی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دسترسی پشتیبانی فنی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—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893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✓</w:t>
            </w:r>
          </w:p>
        </w:tc>
        <w:tc>
          <w:tcPr>
            <w:tcW w:type="dxa" w:w="3600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درخواست/تأیید/لغو دسترسی پشتیبانی دوکنترلی</w:t>
            </w:r>
          </w:p>
        </w:tc>
      </w:tr>
    </w:tbl>
    <w:p>
      <w:pPr>
        <w:spacing w:after="40"/>
      </w:pPr>
    </w:p>
    <w:p>
      <w:pPr>
        <w:spacing w:after="140"/>
        <w:jc w:val="right"/>
        <w:bidi w:val="1"/>
      </w:pPr>
      <w:r>
        <w:rPr>
          <w:rFonts w:ascii="DejaVu Sans" w:hAnsi="DejaVu Sans" w:cs="DejaVu Sans"/>
          <w:color w:val="000000"/>
          <w:sz w:val="21"/>
        </w:rPr>
        <w:t>این جدول نحوه نمایش منو را توصیف می‌کند. اجرای هر عمل علاوه بر نقش، به AAL2، Assignment، Scope و کنترل API/RLS وابسته است.</w:t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color w:val="000000"/>
          <w:sz w:val="34"/>
        </w:rPr>
        <w:t>7. نقش‌های مشتری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68"/>
        <w:gridCol w:w="2068"/>
        <w:gridCol w:w="2068"/>
        <w:gridCol w:w="2068"/>
        <w:gridCol w:w="2068"/>
      </w:tblGrid>
      <w:tr>
        <w:trPr>
          <w:cantSplit/>
          <w:tblHeader w:val="true"/>
        </w:trPr>
        <w:tc>
          <w:tcPr>
            <w:tcW w:type="dxa" w:w="136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6"/>
              </w:rPr>
              <w:t>نقش</w:t>
            </w:r>
          </w:p>
        </w:tc>
        <w:tc>
          <w:tcPr>
            <w:tcW w:type="dxa" w:w="194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center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6"/>
              </w:rPr>
              <w:t>عنوان فارسی</w:t>
            </w:r>
          </w:p>
        </w:tc>
        <w:tc>
          <w:tcPr>
            <w:tcW w:type="dxa" w:w="223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center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6"/>
              </w:rPr>
              <w:t>حالت</w:t>
            </w:r>
          </w:p>
        </w:tc>
        <w:tc>
          <w:tcPr>
            <w:tcW w:type="dxa" w:w="223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center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6"/>
              </w:rPr>
              <w:t>محدوده معمول</w:t>
            </w:r>
          </w:p>
        </w:tc>
        <w:tc>
          <w:tcPr>
            <w:tcW w:type="dxa" w:w="237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6"/>
              </w:rPr>
              <w:t>نکته اصلی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association_admin</w:t>
            </w:r>
          </w:p>
        </w:tc>
        <w:tc>
          <w:tcPr>
            <w:tcW w:type="dxa" w:w="194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مدیر ساختمان / مدیر انجمن</w:t>
            </w:r>
          </w:p>
        </w:tc>
        <w:tc>
          <w:tcPr>
            <w:tcW w:type="dxa" w:w="223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مدیریتی</w:t>
            </w:r>
          </w:p>
        </w:tc>
        <w:tc>
          <w:tcPr>
            <w:tcW w:type="dxa" w:w="223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Tenant، Property یا Building</w:t>
            </w:r>
          </w:p>
        </w:tc>
        <w:tc>
          <w:tcPr>
            <w:tcW w:type="dxa" w:w="237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 xml:space="preserve">عملیات، مالی و ممیزی مجاز؛ نقش ترجیحی Workspace نوع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ASSOCIATION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property_manager</w:t>
            </w:r>
          </w:p>
        </w:tc>
        <w:tc>
          <w:tcPr>
            <w:tcW w:type="dxa" w:w="194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مدیر شرکت مدیریت املاک</w:t>
            </w:r>
          </w:p>
        </w:tc>
        <w:tc>
          <w:tcPr>
            <w:tcW w:type="dxa" w:w="223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مدیریتی</w:t>
            </w:r>
          </w:p>
        </w:tc>
        <w:tc>
          <w:tcPr>
            <w:tcW w:type="dxa" w:w="223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Tenant، Property یا Building</w:t>
            </w:r>
          </w:p>
        </w:tc>
        <w:tc>
          <w:tcPr>
            <w:tcW w:type="dxa" w:w="237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 xml:space="preserve">عملیات چندملکی، مالی و ممیزی؛ نقش ترجیحی Workspace نوع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PROPERTY_MANAGER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president</w:t>
            </w:r>
          </w:p>
        </w:tc>
        <w:tc>
          <w:tcPr>
            <w:tcW w:type="dxa" w:w="194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رئیس انجمن</w:t>
            </w:r>
          </w:p>
        </w:tc>
        <w:tc>
          <w:tcPr>
            <w:tcW w:type="dxa" w:w="223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فقط‌خواندنی نظارتی</w:t>
            </w:r>
          </w:p>
        </w:tc>
        <w:tc>
          <w:tcPr>
            <w:tcW w:type="dxa" w:w="223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زمینه انجمن</w:t>
            </w:r>
          </w:p>
        </w:tc>
        <w:tc>
          <w:tcPr>
            <w:tcW w:type="dxa" w:w="237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حاکمیت، خلاصه مالی و ممیزی؛ عملیات اجرایی ممنوع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censor</w:t>
            </w:r>
          </w:p>
        </w:tc>
        <w:tc>
          <w:tcPr>
            <w:tcW w:type="dxa" w:w="194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بازرس مالی</w:t>
            </w:r>
          </w:p>
        </w:tc>
        <w:tc>
          <w:tcPr>
            <w:tcW w:type="dxa" w:w="223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فقط‌خواندنی</w:t>
            </w:r>
          </w:p>
        </w:tc>
        <w:tc>
          <w:tcPr>
            <w:tcW w:type="dxa" w:w="223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کنترل مالی</w:t>
            </w:r>
          </w:p>
        </w:tc>
        <w:tc>
          <w:tcPr>
            <w:tcW w:type="dxa" w:w="237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گزارش مالی و ممیزی؛ جهش مالی یا تأیید عملیات ممنوع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owner</w:t>
            </w:r>
          </w:p>
        </w:tc>
        <w:tc>
          <w:tcPr>
            <w:tcW w:type="dxa" w:w="194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مالک</w:t>
            </w:r>
          </w:p>
        </w:tc>
        <w:tc>
          <w:tcPr>
            <w:tcW w:type="dxa" w:w="223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محدود به اطلاعات خود</w:t>
            </w:r>
          </w:p>
        </w:tc>
        <w:tc>
          <w:tcPr>
            <w:tcW w:type="dxa" w:w="223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واحدها و حقوق مالی خود</w:t>
            </w:r>
          </w:p>
        </w:tc>
        <w:tc>
          <w:tcPr>
            <w:tcW w:type="dxa" w:w="237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داده سایر واحدها و رجیستر عمومی ساکنان ممنوع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tenant_resident</w:t>
            </w:r>
          </w:p>
        </w:tc>
        <w:tc>
          <w:tcPr>
            <w:tcW w:type="dxa" w:w="194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مستأجر / ساکن</w:t>
            </w:r>
          </w:p>
        </w:tc>
        <w:tc>
          <w:tcPr>
            <w:tcW w:type="dxa" w:w="223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محدود به اطلاعات خود</w:t>
            </w:r>
          </w:p>
        </w:tc>
        <w:tc>
          <w:tcPr>
            <w:tcW w:type="dxa" w:w="223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سکونت، هزینه و مصرف خود</w:t>
            </w:r>
          </w:p>
        </w:tc>
        <w:tc>
          <w:tcPr>
            <w:tcW w:type="dxa" w:w="237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مالکیت، ممیزی عمومی و داده سایر واحدها ممنوع</w:t>
            </w:r>
          </w:p>
        </w:tc>
      </w:tr>
    </w:tbl>
    <w:p>
      <w:pPr>
        <w:spacing w:after="40"/>
      </w:pPr>
    </w:p>
    <w:p>
      <w:pPr>
        <w:spacing w:after="140"/>
        <w:jc w:val="right"/>
        <w:bidi w:val="1"/>
      </w:pPr>
      <w:r>
        <w:rPr>
          <w:rFonts w:ascii="DejaVu Sans" w:hAnsi="DejaVu Sans" w:cs="DejaVu Sans"/>
          <w:color w:val="000000"/>
          <w:sz w:val="21"/>
        </w:rPr>
        <w:t xml:space="preserve">برای </w:t>
      </w:r>
      <w:r>
        <w:rPr>
          <w:rFonts w:ascii="DejaVu Sans Mono" w:hAnsi="DejaVu Sans Mono" w:cs="DejaVu Sans Mono"/>
          <w:color w:val="102A43"/>
          <w:sz w:val="20"/>
        </w:rPr>
        <w:t>association_admin</w:t>
      </w:r>
      <w:r>
        <w:rPr>
          <w:rFonts w:ascii="DejaVu Sans" w:hAnsi="DejaVu Sans" w:cs="DejaVu Sans"/>
          <w:color w:val="000000"/>
          <w:sz w:val="21"/>
        </w:rPr>
        <w:t xml:space="preserve">، </w:t>
      </w:r>
      <w:r>
        <w:rPr>
          <w:rFonts w:ascii="DejaVu Sans Mono" w:hAnsi="DejaVu Sans Mono" w:cs="DejaVu Sans Mono"/>
          <w:color w:val="102A43"/>
          <w:sz w:val="20"/>
        </w:rPr>
        <w:t>property_manager</w:t>
      </w:r>
      <w:r>
        <w:rPr>
          <w:rFonts w:ascii="DejaVu Sans" w:hAnsi="DejaVu Sans" w:cs="DejaVu Sans"/>
          <w:color w:val="000000"/>
          <w:sz w:val="21"/>
        </w:rPr>
        <w:t xml:space="preserve">، </w:t>
      </w:r>
      <w:r>
        <w:rPr>
          <w:rFonts w:ascii="DejaVu Sans Mono" w:hAnsi="DejaVu Sans Mono" w:cs="DejaVu Sans Mono"/>
          <w:color w:val="102A43"/>
          <w:sz w:val="20"/>
        </w:rPr>
        <w:t>president</w:t>
      </w:r>
      <w:r>
        <w:rPr>
          <w:rFonts w:ascii="DejaVu Sans" w:hAnsi="DejaVu Sans" w:cs="DejaVu Sans"/>
          <w:color w:val="000000"/>
          <w:sz w:val="21"/>
        </w:rPr>
        <w:t xml:space="preserve"> و </w:t>
      </w:r>
      <w:r>
        <w:rPr>
          <w:rFonts w:ascii="DejaVu Sans Mono" w:hAnsi="DejaVu Sans Mono" w:cs="DejaVu Sans Mono"/>
          <w:color w:val="102A43"/>
          <w:sz w:val="20"/>
        </w:rPr>
        <w:t>censor</w:t>
      </w:r>
      <w:r>
        <w:rPr>
          <w:rFonts w:ascii="DejaVu Sans" w:hAnsi="DejaVu Sans" w:cs="DejaVu Sans"/>
          <w:color w:val="000000"/>
          <w:sz w:val="21"/>
        </w:rPr>
        <w:t xml:space="preserve"> عامل دوم TOTP و AAL2 اجباری است. برای </w:t>
      </w:r>
      <w:r>
        <w:rPr>
          <w:rFonts w:ascii="DejaVu Sans Mono" w:hAnsi="DejaVu Sans Mono" w:cs="DejaVu Sans Mono"/>
          <w:color w:val="102A43"/>
          <w:sz w:val="20"/>
        </w:rPr>
        <w:t>owner</w:t>
      </w:r>
      <w:r>
        <w:rPr>
          <w:rFonts w:ascii="DejaVu Sans" w:hAnsi="DejaVu Sans" w:cs="DejaVu Sans"/>
          <w:color w:val="000000"/>
          <w:sz w:val="21"/>
        </w:rPr>
        <w:t xml:space="preserve"> و </w:t>
      </w:r>
      <w:r>
        <w:rPr>
          <w:rFonts w:ascii="DejaVu Sans Mono" w:hAnsi="DejaVu Sans Mono" w:cs="DejaVu Sans Mono"/>
          <w:color w:val="102A43"/>
          <w:sz w:val="20"/>
        </w:rPr>
        <w:t>tenant_resident</w:t>
      </w:r>
      <w:r>
        <w:rPr>
          <w:rFonts w:ascii="DejaVu Sans" w:hAnsi="DejaVu Sans" w:cs="DejaVu Sans"/>
          <w:color w:val="000000"/>
          <w:sz w:val="21"/>
        </w:rPr>
        <w:t xml:space="preserve"> ثبت MFA اختیاری است؛ اگر فعال شود، نشست‌های بعدی باید AAL2 را تکمیل کنند.</w:t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color w:val="000000"/>
          <w:sz w:val="34"/>
        </w:rPr>
        <w:t>8. منوهای فضای مشتری</w:t>
      </w:r>
    </w:p>
    <w:p>
      <w:pPr>
        <w:spacing w:after="140"/>
        <w:jc w:val="right"/>
        <w:bidi w:val="1"/>
      </w:pPr>
      <w:r>
        <w:rPr>
          <w:rFonts w:ascii="DejaVu Sans" w:hAnsi="DejaVu Sans" w:cs="DejaVu Sans"/>
          <w:color w:val="000000"/>
          <w:sz w:val="21"/>
        </w:rPr>
        <w:t>نمایش واقعی هر ردیف از تقاطع چهار شرط به دست می‌آید:</w:t>
      </w:r>
    </w:p>
    <w:p>
      <w:pPr>
        <w:spacing w:after="140"/>
        <w:jc w:val="right"/>
        <w:bidi w:val="1"/>
      </w:pPr>
      <w:r>
        <w:rPr>
          <w:rFonts w:ascii="DejaVu Sans Mono" w:hAnsi="DejaVu Sans Mono" w:cs="DejaVu Sans Mono"/>
          <w:color w:val="102A43"/>
          <w:sz w:val="20"/>
        </w:rPr>
        <w:t>Role allowlist ∩ Permission ∩ Module/Entitlement ∩ Context فعال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85"/>
        <w:gridCol w:w="2585"/>
        <w:gridCol w:w="2585"/>
        <w:gridCol w:w="2585"/>
      </w:tblGrid>
      <w:tr>
        <w:trPr>
          <w:cantSplit/>
          <w:tblHeader w:val="true"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7"/>
              </w:rPr>
              <w:t>منوی فارسی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7"/>
              </w:rPr>
              <w:t>مسیر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7"/>
              </w:rPr>
              <w:t>نقش‌های قابل نمایش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7"/>
              </w:rPr>
              <w:t>شرط فنی افزوده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داشبورد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/app/dashboard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همه 6 نقش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Context فعال برای داده زنده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دفتر کل حسابداری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/app/accounting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مدیر ساختمان، مدیر شرکت، رئیس، بازرس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finance.ledger.read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+ ماژول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accounting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تسهیم و حقوق مالی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/app/accounting/allocations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مدیر ساختمان، مدیر شرکت، رئیس، بازرس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finance.allocations.read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گزارش‌های مالی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/app/accounting/reports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مدیر ساختمان، مدیر شرکت، رئیس، بازرس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finance.reports.read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+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accounting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بستن ماه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/app/accounting/month-close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مدیر ساختمان، مدیر شرکت، رئیس، بازرس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finance.periods.read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+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accounting</w:t>
            </w:r>
            <w:r>
              <w:rPr>
                <w:rFonts w:ascii="DejaVu Sans" w:hAnsi="DejaVu Sans" w:cs="DejaVu Sans"/>
                <w:color w:val="000000"/>
                <w:sz w:val="17"/>
              </w:rPr>
              <w:t>؛ رئیس و بازرس فقط‌خواندنی‌اند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کنتورها و خدمات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/app/meters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مدیر ساختمان، مدیر شرکت، ساکن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utilities.metering.read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+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module.utilities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دارایی‌ها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/app/assets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مدیر ساختمان، مدیر شرکت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maintenance.assets.read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+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module.maintenance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نگهداری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/app/maintenance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مدیر ساختمان، مدیر شرکت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maintenance.assets.read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+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module.maintenance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فروشندگان و تدارکات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/app/vendors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مدیر ساختمان، مدیر شرکت، رئیس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maintenance.procurement.read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+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module.maintenance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حاکمیت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/app/governance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مدیر ساختمان، رئیس، مالک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governance.meetings.read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+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module.governance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جلسات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/app/meetings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مدیر ساختمان، رئیس، مالک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governance.meetings.read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+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module.governance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ارتباطات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/app/communications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مدیر ساختمان، مدیر شرکت، رئیس، مالک، ساکن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communications.feed.read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+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module.communications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اعلان‌ها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/app/notifications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مدیر ساختمان، مدیر شرکت، رئیس، مالک، ساکن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communications.feed.read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+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module.communications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اسناد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/app/documents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همه 6 نقش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documents.vault.read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+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module.documents</w:t>
            </w:r>
            <w:r>
              <w:rPr>
                <w:rFonts w:ascii="DejaVu Sans" w:hAnsi="DejaVu Sans" w:cs="DejaVu Sans"/>
                <w:color w:val="000000"/>
                <w:sz w:val="17"/>
              </w:rPr>
              <w:t>؛ داده با Scope محدود می‌شود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سکونت و ساکنان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/app/occupancy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مدیر ساختمان، مدیر شرکت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occupancy.registry.read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+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module.occupancy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مالکیت و اجاره‌ها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/app/ownership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مدیر ساختمان، مدیر شرکت، مالک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occupancy.registry.read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+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module.occupancy</w:t>
            </w:r>
            <w:r>
              <w:rPr>
                <w:rFonts w:ascii="DejaVu Sans" w:hAnsi="DejaVu Sans" w:cs="DejaVu Sans"/>
                <w:color w:val="000000"/>
                <w:sz w:val="17"/>
              </w:rPr>
              <w:t>؛ مالک فقط داده خود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دسترسی و امنیت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/app/security-access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مدیر ساختمان، مدیر شرکت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security.access.read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+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module.security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صورتحساب‌ها و مطالبات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/app/billing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مدیر ساختمان، مدیر شرکت، رئیس، بازرس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billing.receivables.read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+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billing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پرداخت‌ها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/app/payments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همه 6 نقش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payments.reconciliation.read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+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payments</w:t>
            </w:r>
            <w:r>
              <w:rPr>
                <w:rFonts w:ascii="DejaVu Sans" w:hAnsi="DejaVu Sans" w:cs="DejaVu Sans"/>
                <w:color w:val="000000"/>
                <w:sz w:val="17"/>
              </w:rPr>
              <w:t>؛ Scope داده متفاوت است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تطبیق بانکی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/app/reconciliation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مدیر ساختمان، مدیر شرکت، رئیس، بازرس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payments.reconciliation.read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+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payments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گزارش بازرسی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/app/audit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مدیر ساختمان، مدیر شرکت، رئیس، بازرس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audit.events.read</w:t>
            </w:r>
          </w:p>
        </w:tc>
      </w:tr>
    </w:tbl>
    <w:p>
      <w:pPr>
        <w:spacing w:after="40"/>
      </w:pPr>
    </w:p>
    <w:p>
      <w:pPr>
        <w:spacing w:after="140"/>
        <w:jc w:val="right"/>
        <w:bidi w:val="1"/>
      </w:pPr>
      <w:r>
        <w:rPr>
          <w:rFonts w:ascii="DejaVu Sans" w:hAnsi="DejaVu Sans" w:cs="DejaVu Sans"/>
          <w:color w:val="000000"/>
          <w:sz w:val="21"/>
        </w:rPr>
        <w:t xml:space="preserve">مسیرهای </w:t>
      </w:r>
      <w:r>
        <w:rPr>
          <w:rFonts w:ascii="DejaVu Sans Mono" w:hAnsi="DejaVu Sans Mono" w:cs="DejaVu Sans Mono"/>
          <w:color w:val="102A43"/>
          <w:sz w:val="20"/>
        </w:rPr>
        <w:t>portfolio</w:t>
      </w:r>
      <w:r>
        <w:rPr>
          <w:rFonts w:ascii="DejaVu Sans" w:hAnsi="DejaVu Sans" w:cs="DejaVu Sans"/>
          <w:color w:val="000000"/>
          <w:sz w:val="21"/>
        </w:rPr>
        <w:t xml:space="preserve">، </w:t>
      </w:r>
      <w:r>
        <w:rPr>
          <w:rFonts w:ascii="DejaVu Sans Mono" w:hAnsi="DejaVu Sans Mono" w:cs="DejaVu Sans Mono"/>
          <w:color w:val="102A43"/>
          <w:sz w:val="20"/>
        </w:rPr>
        <w:t>settings</w:t>
      </w:r>
      <w:r>
        <w:rPr>
          <w:rFonts w:ascii="DejaVu Sans" w:hAnsi="DejaVu Sans" w:cs="DejaVu Sans"/>
          <w:color w:val="000000"/>
          <w:sz w:val="21"/>
        </w:rPr>
        <w:t xml:space="preserve"> و </w:t>
      </w:r>
      <w:r>
        <w:rPr>
          <w:rFonts w:ascii="DejaVu Sans Mono" w:hAnsi="DejaVu Sans Mono" w:cs="DejaVu Sans Mono"/>
          <w:color w:val="102A43"/>
          <w:sz w:val="20"/>
        </w:rPr>
        <w:t>migration/shadow-ledger</w:t>
      </w:r>
      <w:r>
        <w:rPr>
          <w:rFonts w:ascii="DejaVu Sans" w:hAnsi="DejaVu Sans" w:cs="DejaVu Sans"/>
          <w:color w:val="000000"/>
          <w:sz w:val="21"/>
        </w:rPr>
        <w:t xml:space="preserve"> در فضای مشتری فعلاً صریحاً unavailable هستند و نباید به‌عنوان قابلیت عملیاتی معرفی شوند.</w:t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color w:val="000000"/>
          <w:sz w:val="34"/>
        </w:rPr>
        <w:t>9. نحوه دعوت مدیر اصلی توسط سوپرادمین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color w:val="000000"/>
          <w:sz w:val="26"/>
        </w:rPr>
        <w:t>9.1 پیش‌شرط‌ها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• Tenant مشتری به‌صورت مستقل ایجاد شده باشد.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• Workspace مستقل به Tenant متصل باشد.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 xml:space="preserve">• نوع محیط برای آزمایش واقعی </w:t>
      </w:r>
      <w:r>
        <w:rPr>
          <w:rFonts w:ascii="DejaVu Sans Mono" w:hAnsi="DejaVu Sans Mono" w:cs="DejaVu Sans Mono"/>
          <w:color w:val="102A43"/>
          <w:sz w:val="19"/>
        </w:rPr>
        <w:t>PILOT</w:t>
      </w:r>
      <w:r>
        <w:rPr>
          <w:rFonts w:ascii="DejaVu Sans" w:hAnsi="DejaVu Sans" w:cs="DejaVu Sans"/>
          <w:color w:val="000000"/>
          <w:sz w:val="20"/>
        </w:rPr>
        <w:t xml:space="preserve"> باشد.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 xml:space="preserve">• Workspace از مسیر تجاری مجاز به </w:t>
      </w:r>
      <w:r>
        <w:rPr>
          <w:rFonts w:ascii="DejaVu Sans Mono" w:hAnsi="DejaVu Sans Mono" w:cs="DejaVu Sans Mono"/>
          <w:color w:val="102A43"/>
          <w:sz w:val="19"/>
        </w:rPr>
        <w:t>PROVISIONING</w:t>
      </w:r>
      <w:r>
        <w:rPr>
          <w:rFonts w:ascii="DejaVu Sans" w:hAnsi="DejaVu Sans" w:cs="DejaVu Sans"/>
          <w:color w:val="000000"/>
          <w:sz w:val="20"/>
        </w:rPr>
        <w:t xml:space="preserve"> رسیده باشد.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• سوپرادمین نشست TOTP/AAL2 معتبر داشته باشد.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• نقش دعوت یکی از این دو مورد باشد: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 xml:space="preserve">• </w:t>
      </w:r>
      <w:r>
        <w:rPr>
          <w:rFonts w:ascii="DejaVu Sans Mono" w:hAnsi="DejaVu Sans Mono" w:cs="DejaVu Sans Mono"/>
          <w:color w:val="102A43"/>
          <w:sz w:val="19"/>
        </w:rPr>
        <w:t>association_admin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 xml:space="preserve">• </w:t>
      </w:r>
      <w:r>
        <w:rPr>
          <w:rFonts w:ascii="DejaVu Sans Mono" w:hAnsi="DejaVu Sans Mono" w:cs="DejaVu Sans Mono"/>
          <w:color w:val="102A43"/>
          <w:sz w:val="19"/>
        </w:rPr>
        <w:t>property_manager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• ایمیل گیرنده خارج از مخزن عمومی نگهداری و فقط هنگام ارسال وارد شود.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color w:val="000000"/>
          <w:sz w:val="26"/>
        </w:rPr>
        <w:t>9.2 مسیر سوپرادمین در رابط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 xml:space="preserve">1. ورود به </w:t>
      </w:r>
      <w:r>
        <w:rPr>
          <w:rFonts w:ascii="DejaVu Sans Mono" w:hAnsi="DejaVu Sans Mono" w:cs="DejaVu Sans Mono"/>
          <w:color w:val="102A43"/>
          <w:sz w:val="19"/>
        </w:rPr>
        <w:t>https://cladora.ro/fa/login</w:t>
      </w:r>
      <w:r>
        <w:rPr>
          <w:rFonts w:ascii="DejaVu Sans" w:hAnsi="DejaVu Sans" w:cs="DejaVu Sans"/>
          <w:color w:val="000000"/>
          <w:sz w:val="20"/>
        </w:rPr>
        <w:t>.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2. تکمیل TOTP در صورت درخواست.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 xml:space="preserve">3. ورود به «محیط‌های کاری و مشتریان» در مسیر </w:t>
      </w:r>
      <w:r>
        <w:rPr>
          <w:rFonts w:ascii="DejaVu Sans Mono" w:hAnsi="DejaVu Sans Mono" w:cs="DejaVu Sans Mono"/>
          <w:color w:val="102A43"/>
          <w:sz w:val="19"/>
        </w:rPr>
        <w:t>/fa/platform/workspaces</w:t>
      </w:r>
      <w:r>
        <w:rPr>
          <w:rFonts w:ascii="DejaVu Sans" w:hAnsi="DejaVu Sans" w:cs="DejaVu Sans"/>
          <w:color w:val="000000"/>
          <w:sz w:val="20"/>
        </w:rPr>
        <w:t>.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 xml:space="preserve">4. یافتن Workspace با وضعیت </w:t>
      </w:r>
      <w:r>
        <w:rPr>
          <w:rFonts w:ascii="DejaVu Sans Mono" w:hAnsi="DejaVu Sans Mono" w:cs="DejaVu Sans Mono"/>
          <w:color w:val="102A43"/>
          <w:sz w:val="19"/>
        </w:rPr>
        <w:t>PROVISIONING</w:t>
      </w:r>
      <w:r>
        <w:rPr>
          <w:rFonts w:ascii="DejaVu Sans" w:hAnsi="DejaVu Sans" w:cs="DejaVu Sans"/>
          <w:color w:val="000000"/>
          <w:sz w:val="20"/>
        </w:rPr>
        <w:t>.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5. انتخاب «دعوت مدیر ساختمان».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6. ورود ایمیل، نقش، دلیل ممیزی و اعتبار 24/48/72 ساعت.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7. بررسی نهایی گیرنده و انتخاب «ارسال دعوت‌نامه».</w:t>
      </w:r>
    </w:p>
    <w:p>
      <w:pPr>
        <w:spacing w:after="140"/>
        <w:jc w:val="right"/>
        <w:bidi w:val="1"/>
      </w:pPr>
      <w:r>
        <w:rPr>
          <w:rFonts w:ascii="DejaVu Sans" w:hAnsi="DejaVu Sans" w:cs="DejaVu Sans"/>
          <w:color w:val="000000"/>
          <w:sz w:val="21"/>
        </w:rPr>
        <w:t>منوی «کاربران داخلی پلتفرم» برای کارکنان CLADORA است و برای دعوت مدیر ساختمان استفاده نمی‌شود.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color w:val="000000"/>
          <w:sz w:val="26"/>
        </w:rPr>
        <w:t>9.3 کنترل‌های امنیتی هنگام ارسال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 xml:space="preserve">• فقط </w:t>
      </w:r>
      <w:r>
        <w:rPr>
          <w:rFonts w:ascii="DejaVu Sans Mono" w:hAnsi="DejaVu Sans Mono" w:cs="DejaVu Sans Mono"/>
          <w:color w:val="102A43"/>
          <w:sz w:val="19"/>
        </w:rPr>
        <w:t>PLATFORM_SUPER_ADMIN</w:t>
      </w:r>
      <w:r>
        <w:rPr>
          <w:rFonts w:ascii="DejaVu Sans" w:hAnsi="DejaVu Sans" w:cs="DejaVu Sans"/>
          <w:color w:val="000000"/>
          <w:sz w:val="20"/>
        </w:rPr>
        <w:t xml:space="preserve"> یا </w:t>
      </w:r>
      <w:r>
        <w:rPr>
          <w:rFonts w:ascii="DejaVu Sans Mono" w:hAnsi="DejaVu Sans Mono" w:cs="DejaVu Sans Mono"/>
          <w:color w:val="102A43"/>
          <w:sz w:val="19"/>
        </w:rPr>
        <w:t>PLATFORM_OPERATIONS</w:t>
      </w:r>
      <w:r>
        <w:rPr>
          <w:rFonts w:ascii="DejaVu Sans" w:hAnsi="DejaVu Sans" w:cs="DejaVu Sans"/>
          <w:color w:val="000000"/>
          <w:sz w:val="20"/>
        </w:rPr>
        <w:t xml:space="preserve"> تخصیص‌یافته مجاز است.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• API مجدداً AAL2، نقش و Assignment را بررسی می‌کند.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• Role ID در سمت سرور با فهرست دو نقش مدیر اصلی تطبیق داده می‌شود.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 xml:space="preserve">• Scope دعوت فعلی فقط </w:t>
      </w:r>
      <w:r>
        <w:rPr>
          <w:rFonts w:ascii="DejaVu Sans Mono" w:hAnsi="DejaVu Sans Mono" w:cs="DejaVu Sans Mono"/>
          <w:color w:val="102A43"/>
          <w:sz w:val="19"/>
        </w:rPr>
        <w:t>tenant</w:t>
      </w:r>
      <w:r>
        <w:rPr>
          <w:rFonts w:ascii="DejaVu Sans" w:hAnsi="DejaVu Sans" w:cs="DejaVu Sans"/>
          <w:color w:val="000000"/>
          <w:sz w:val="20"/>
        </w:rPr>
        <w:t xml:space="preserve"> است.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• در صورت شکست ارسال Auth Email، رکورد دعوت به‌صورت خودکار revoke می‌شود.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• رمز عبور، کد TOTP، توکن خام و لینک کامل دعوت نباید در لاگ، ممیزی یا مستند ثبت شود.</w:t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color w:val="000000"/>
          <w:sz w:val="34"/>
        </w:rPr>
        <w:t>10. مسیر کاربری مدیر ساختمان پس از دریافت ایمیل</w:t>
      </w:r>
    </w:p>
    <w:p>
      <w:pPr>
        <w:spacing w:before="100" w:after="180"/>
        <w:jc w:val="center"/>
      </w:pPr>
      <w:r>
        <w:drawing>
          <wp:inline xmlns:a="http://schemas.openxmlformats.org/drawingml/2006/main" xmlns:pic="http://schemas.openxmlformats.org/drawingml/2006/picture">
            <wp:extent cx="4800600" cy="5011826"/>
            <wp:docPr id="4" name="Picture 4" descr="نمودار مراحل پذیرش دعوت مدیر اصلی و ورود امن" title="نمودار مراحل پذیرش دعوت مدیر اصلی و ورود ام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it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011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right"/>
        <w:bidi w:val="1"/>
      </w:pPr>
      <w:r>
        <w:rPr>
          <w:rFonts w:ascii="DejaVu Sans" w:hAnsi="DejaVu Sans" w:cs="DejaVu Sans"/>
          <w:color w:val="000000"/>
          <w:sz w:val="21"/>
        </w:rPr>
        <w:t>جزئیات: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1. کاربر لینک دعوت را از ایمیل باز می‌کند.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2. Callback فقط پارامترهای امن و Allowlisted را می‌پذیرد و نشست Supabase Auth را ایجاد می‌کند.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3. سامانه دعوت‌های معتبر همان ایمیل تأییدشده را نمایش می‌دهد.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4. کاربر نام کامل و Workspace موردنظر را تأیید می‌کند.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5. سرور Membership و Context را از داده ذخیره‌شده دعوت می‌سازد؛ مرورگر نمی‌تواند Tenant، Role یا Scope را تعیین کند.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6. کاربر رمزی حداقل 8 نویسه‌ای شامل حداقل یک حرف لاتین و یک عدد تعیین می‌کند.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7. پس از تعیین رمز، همه نشست‌ها خارج می‌شوند و کاربر دوباره وارد می‌شود.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8. چون نقش مدیر ساختمان حساس است، ثبت و تأیید TOTP اجباری است.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 xml:space="preserve">9. پس از AAL2، کاربر وارد </w:t>
      </w:r>
      <w:r>
        <w:rPr>
          <w:rFonts w:ascii="DejaVu Sans Mono" w:hAnsi="DejaVu Sans Mono" w:cs="DejaVu Sans Mono"/>
          <w:color w:val="102A43"/>
          <w:sz w:val="19"/>
        </w:rPr>
        <w:t>/fa/app/dashboard</w:t>
      </w:r>
      <w:r>
        <w:rPr>
          <w:rFonts w:ascii="DejaVu Sans" w:hAnsi="DejaVu Sans" w:cs="DejaVu Sans"/>
          <w:color w:val="000000"/>
          <w:sz w:val="20"/>
        </w:rPr>
        <w:t xml:space="preserve"> می‌شود و فقط Contextها و منوهای مجاز خود را می‌بیند.</w:t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color w:val="000000"/>
          <w:sz w:val="34"/>
        </w:rPr>
        <w:t>11. وضعیت فعلی Production در تاریخ مبنا</w:t>
      </w:r>
    </w:p>
    <w:p>
      <w:pPr>
        <w:spacing w:after="140"/>
        <w:jc w:val="right"/>
        <w:bidi w:val="1"/>
      </w:pPr>
      <w:r>
        <w:rPr>
          <w:rFonts w:ascii="DejaVu Sans" w:hAnsi="DejaVu Sans" w:cs="DejaVu Sans"/>
          <w:color w:val="000000"/>
          <w:sz w:val="21"/>
        </w:rPr>
        <w:t xml:space="preserve">در Production سه Workspace آزمایشی وجود دارد و هر سه </w:t>
      </w:r>
      <w:r>
        <w:rPr>
          <w:rFonts w:ascii="DejaVu Sans Mono" w:hAnsi="DejaVu Sans Mono" w:cs="DejaVu Sans Mono"/>
          <w:color w:val="102A43"/>
          <w:sz w:val="20"/>
        </w:rPr>
        <w:t>PILOT / ACTIVE</w:t>
      </w:r>
      <w:r>
        <w:rPr>
          <w:rFonts w:ascii="DejaVu Sans" w:hAnsi="DejaVu Sans" w:cs="DejaVu Sans"/>
          <w:color w:val="000000"/>
          <w:sz w:val="21"/>
        </w:rPr>
        <w:t xml:space="preserve"> هستند: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85"/>
        <w:gridCol w:w="2585"/>
        <w:gridCol w:w="2585"/>
        <w:gridCol w:w="2585"/>
      </w:tblGrid>
      <w:tr>
        <w:trPr>
          <w:cantSplit/>
          <w:tblHeader w:val="true"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7"/>
              </w:rPr>
              <w:t>Workspace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7"/>
              </w:rPr>
              <w:t>Tenant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7"/>
              </w:rPr>
              <w:t>وضعیت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7"/>
              </w:rPr>
              <w:t>مدیر اصلی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P1TEST Admin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P1TEST-A Association Tenant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ACTIVE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ثبت نشده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P1TEST Control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P1TEST-B Control Tenant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ACTIVE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ثبت نشده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CLADORA controlled synthetic fixture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CLADORA Synthetic Pilot Association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ACTIVE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ثبت شده</w:t>
            </w:r>
          </w:p>
        </w:tc>
      </w:tr>
    </w:tbl>
    <w:p>
      <w:pPr>
        <w:spacing w:after="40"/>
      </w:pPr>
    </w:p>
    <w:p>
      <w:pPr>
        <w:spacing w:after="140"/>
        <w:jc w:val="right"/>
        <w:bidi w:val="1"/>
      </w:pPr>
      <w:r>
        <w:rPr>
          <w:rFonts w:ascii="DejaVu Sans" w:hAnsi="DejaVu Sans" w:cs="DejaVu Sans"/>
          <w:color w:val="000000"/>
          <w:sz w:val="21"/>
        </w:rPr>
        <w:t xml:space="preserve">نتیجه: اکنون هیچ Workspace با وضعیت </w:t>
      </w:r>
      <w:r>
        <w:rPr>
          <w:rFonts w:ascii="DejaVu Sans Mono" w:hAnsi="DejaVu Sans Mono" w:cs="DejaVu Sans Mono"/>
          <w:color w:val="102A43"/>
          <w:sz w:val="20"/>
        </w:rPr>
        <w:t>PROVISIONING</w:t>
      </w:r>
      <w:r>
        <w:rPr>
          <w:rFonts w:ascii="DejaVu Sans" w:hAnsi="DejaVu Sans" w:cs="DejaVu Sans"/>
          <w:color w:val="000000"/>
          <w:sz w:val="21"/>
        </w:rPr>
        <w:t xml:space="preserve"> وجود ندارد؛ بنابراین دکمه دعوت مدیر ساختمان در رابط نمایش داده نمی‌شود. برای تست واقعی باید یک Tenant و Workspace آزمایشی مستقل ایجاد شود. ایمیل واقعی گیرنده نباید در این مخزن عمومی ثبت شود.</w:t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color w:val="000000"/>
          <w:sz w:val="34"/>
        </w:rPr>
        <w:t>12. مشکلات و فاصله‌های قابل پیگیری</w:t>
      </w:r>
    </w:p>
    <w:p>
      <w:pPr>
        <w:spacing w:after="140"/>
        <w:jc w:val="right"/>
        <w:bidi w:val="1"/>
      </w:pPr>
      <w:r>
        <w:rPr>
          <w:rFonts w:ascii="DejaVu Sans" w:hAnsi="DejaVu Sans" w:cs="DejaVu Sans"/>
          <w:color w:val="000000"/>
          <w:sz w:val="21"/>
        </w:rPr>
        <w:t xml:space="preserve">اصلاح فنی نسخه 1.1 در شاخه </w:t>
      </w:r>
      <w:r>
        <w:rPr>
          <w:rFonts w:ascii="DejaVu Sans Mono" w:hAnsi="DejaVu Sans Mono" w:cs="DejaVu Sans Mono"/>
          <w:color w:val="102A43"/>
          <w:sz w:val="20"/>
        </w:rPr>
        <w:t>fix/tokenless-invitation-customer-api-gateway</w:t>
      </w:r>
      <w:r>
        <w:rPr>
          <w:rFonts w:ascii="DejaVu Sans" w:hAnsi="DejaVu Sans" w:cs="DejaVu Sans"/>
          <w:color w:val="000000"/>
          <w:sz w:val="21"/>
        </w:rPr>
        <w:t xml:space="preserve"> آماده شده است. دو RPC مرحله ادامه و قبول دعوت از مرز عمومی و محدود </w:t>
      </w:r>
      <w:r>
        <w:rPr>
          <w:rFonts w:ascii="DejaVu Sans Mono" w:hAnsi="DejaVu Sans Mono" w:cs="DejaVu Sans Mono"/>
          <w:color w:val="102A43"/>
          <w:sz w:val="20"/>
        </w:rPr>
        <w:t>customer_api</w:t>
      </w:r>
      <w:r>
        <w:rPr>
          <w:rFonts w:ascii="DejaVu Sans" w:hAnsi="DejaVu Sans" w:cs="DejaVu Sans"/>
          <w:color w:val="000000"/>
          <w:sz w:val="21"/>
        </w:rPr>
        <w:t xml:space="preserve"> عبور می‌کنند و نقش‌های </w:t>
      </w:r>
      <w:r>
        <w:rPr>
          <w:rFonts w:ascii="DejaVu Sans Mono" w:hAnsi="DejaVu Sans Mono" w:cs="DejaVu Sans Mono"/>
          <w:color w:val="102A43"/>
          <w:sz w:val="20"/>
        </w:rPr>
        <w:t>association_admin</w:t>
      </w:r>
      <w:r>
        <w:rPr>
          <w:rFonts w:ascii="DejaVu Sans" w:hAnsi="DejaVu Sans" w:cs="DejaVu Sans"/>
          <w:color w:val="000000"/>
          <w:sz w:val="21"/>
        </w:rPr>
        <w:t xml:space="preserve"> و </w:t>
      </w:r>
      <w:r>
        <w:rPr>
          <w:rFonts w:ascii="DejaVu Sans Mono" w:hAnsi="DejaVu Sans Mono" w:cs="DejaVu Sans Mono"/>
          <w:color w:val="102A43"/>
          <w:sz w:val="20"/>
        </w:rPr>
        <w:t>property_manager</w:t>
      </w:r>
      <w:r>
        <w:rPr>
          <w:rFonts w:ascii="DejaVu Sans" w:hAnsi="DejaVu Sans" w:cs="DejaVu Sans"/>
          <w:color w:val="000000"/>
          <w:sz w:val="21"/>
        </w:rPr>
        <w:t xml:space="preserve"> هنگام claim به‌عنوان مدیر اصلی Workspace شناخته می‌شوند. این اصلاح تا زمان اجرای CI، اعمال migration و استقرار Production در محیط عملیاتی فعال نیست.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85"/>
        <w:gridCol w:w="2585"/>
        <w:gridCol w:w="2585"/>
        <w:gridCol w:w="2585"/>
      </w:tblGrid>
      <w:tr>
        <w:trPr>
          <w:cantSplit/>
          <w:tblHeader w:val="true"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7"/>
              </w:rPr>
              <w:t>شناسه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7"/>
              </w:rPr>
              <w:t>اهمیت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7"/>
              </w:rPr>
              <w:t>مشاهده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7"/>
              </w:rPr>
              <w:t>نتیجه مورد انتظار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DOC-REV-001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مسدودکننده تست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 xml:space="preserve">هیچ Workspace در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PROVISIONING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نیست.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 xml:space="preserve">ایجاد Tenant/Workspace مستقل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PILOT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بدون تغییر Workspaceهای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ACTIVE</w:t>
            </w:r>
            <w:r>
              <w:rPr>
                <w:rFonts w:ascii="DejaVu Sans" w:hAnsi="DejaVu Sans" w:cs="DejaVu Sans"/>
                <w:color w:val="000000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DOC-REV-002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بالا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رابط Workspace فقط فهرست و دعوت را نشان می‌دهد؛ فرم ایجاد Tenant/Workspace در این صفحه وجود ندارد.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طراحی جریان امن ایجاد مشتری و Workspace با دلیل ممیزی.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DOC-REV-003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بالا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API تغییر Lifecycle وجود دارد، اما عمل تغییر وضعیت در جدول Workspace نمایش داده نشده است.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UI کنترل‌شده برای Transition با نسخه مورد انتظار و دلیل.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DOC-REV-004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رفع‌شده در کد و در انتظار استقرار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 xml:space="preserve">صفحه ادامه دعوت و API claim مستقیماً RPCهای schema خصوصی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platform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را فراخوانی می‌کردند.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 xml:space="preserve">gateway محدود و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SECURITY INVOKER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در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customer_api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افزوده شد؛ اعمال migration و Smoke Test Production باقی است.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DOC-REV-005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متوسط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برخی ADRها وضعیت تاریخی «Proposed/Deferred» دارند، اما بخشی از قابلیت‌ها اکنون در Production پیاده شده‌اند.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به‌روزرسانی Status و Rollout note بدون بازنویسی تاریخچه تصمیم.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DOC-REV-006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متوسط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نقش‌های مجاز مسیر و منوی ظاهری با Permission/Module/Entitlement ترکیب می‌شوند و ممکن است برای کاربر قابل توضیح نباشند.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افزودن صفحه «چرا این منو را نمی‌بینم؟» با علت غیرحساس و قابل پشتیبانی.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DOC-REV-007</w:t>
            </w:r>
          </w:p>
        </w:tc>
        <w:tc>
          <w:tcPr>
            <w:tcW w:type="dxa" w:w="26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>رفع‌شده در کد و در انتظار استقرار</w:t>
            </w:r>
          </w:p>
        </w:tc>
        <w:tc>
          <w:tcPr>
            <w:tcW w:type="dxa" w:w="302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7"/>
              </w:rPr>
              <w:t xml:space="preserve">claim فقط نقش‌های قدیمی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WORKSPACE_OWNER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و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WORKSPACE_ADMIN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را مدیر اصلی تشخیص می‌داد و با نقش‌های دعوت فعلی ناسازگار بود.</w:t>
            </w:r>
          </w:p>
        </w:tc>
        <w:tc>
          <w:tcPr>
            <w:tcW w:type="dxa" w:w="280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 Mono" w:hAnsi="DejaVu Sans Mono" w:cs="DejaVu Sans Mono"/>
                <w:color w:val="102A43"/>
                <w:sz w:val="17"/>
              </w:rPr>
              <w:t>association_admin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و </w:t>
            </w:r>
            <w:r>
              <w:rPr>
                <w:rFonts w:ascii="DejaVu Sans Mono" w:hAnsi="DejaVu Sans Mono" w:cs="DejaVu Sans Mono"/>
                <w:color w:val="102A43"/>
                <w:sz w:val="17"/>
              </w:rPr>
              <w:t>property_manager</w:t>
            </w:r>
            <w:r>
              <w:rPr>
                <w:rFonts w:ascii="DejaVu Sans" w:hAnsi="DejaVu Sans" w:cs="DejaVu Sans"/>
                <w:color w:val="000000"/>
                <w:sz w:val="17"/>
              </w:rPr>
              <w:t xml:space="preserve"> نیز به فهرست مدیر اصلی افزوده شدند و تست اتصال مدیر اصلی، Membership، Context و Audit اضافه شد.</w:t>
            </w:r>
          </w:p>
        </w:tc>
      </w:tr>
    </w:tbl>
    <w:p>
      <w:pPr>
        <w:spacing w:after="40"/>
      </w:pPr>
    </w:p>
    <w:p>
      <w:pPr>
        <w:pStyle w:val="Heading1"/>
        <w:jc w:val="right"/>
        <w:bidi w:val="1"/>
      </w:pPr>
      <w:r>
        <w:rPr>
          <w:rFonts w:ascii="DejaVu Sans" w:hAnsi="DejaVu Sans" w:cs="DejaVu Sans"/>
          <w:color w:val="000000"/>
          <w:sz w:val="34"/>
        </w:rPr>
        <w:t>13. چک‌لیست تست مشترک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color w:val="000000"/>
          <w:sz w:val="26"/>
        </w:rPr>
        <w:t>13.1 کنترل پلتفرم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• [ ] ورود سوپرادمین فقط پس از TOTP/AAL2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• [ ] نمایش 10 منوی مجاز سوپرادمین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• [ ] عدم استفاده از «کاربران داخلی پلتفرم» برای مدیر ساختمان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• [ ] ایجاد Tenant/Workspace آزمایشی مستقل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 xml:space="preserve">• [ ] طی Transitionهای مجاز تا </w:t>
      </w:r>
      <w:r>
        <w:rPr>
          <w:rFonts w:ascii="DejaVu Sans Mono" w:hAnsi="DejaVu Sans Mono" w:cs="DejaVu Sans Mono"/>
          <w:color w:val="102A43"/>
          <w:sz w:val="19"/>
        </w:rPr>
        <w:t>PROVISIONING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 xml:space="preserve">• [ ] نمایش دکمه «دعوت مدیر ساختمان» فقط در </w:t>
      </w:r>
      <w:r>
        <w:rPr>
          <w:rFonts w:ascii="DejaVu Sans Mono" w:hAnsi="DejaVu Sans Mono" w:cs="DejaVu Sans Mono"/>
          <w:color w:val="102A43"/>
          <w:sz w:val="19"/>
        </w:rPr>
        <w:t>PROVISIONING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• [ ] ثبت ایمیل، نقش، دلیل و زمان اعتبار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• [ ] ثبت رویداد ممیزی بدون ایمیل یا توکن خام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color w:val="000000"/>
          <w:sz w:val="26"/>
        </w:rPr>
        <w:t>13.2 گیرنده دعوت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• [ ] دریافت ایمیل در Inbox و بررسی Spam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• [ ] بازشدن لینک فقط روی دامنه مجاز CLADORA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• [ ] نمایش Workspace و نقش صحیح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• [ ] عدم امکان انتخاب Tenant، Role یا Scope از درخواست دستکاری‌شده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• [ ] تعیین رمز مطابق Policy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• [ ] خروج اجباری و ورود مجدد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• [ ] ثبت و تأیید TOTP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• [ ] ورود به داشبورد با Context صحیح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color w:val="000000"/>
          <w:sz w:val="26"/>
        </w:rPr>
        <w:t>13.3 کنترل منو و داده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• [ ] منوها مطابق نقش، Permission، Module و Entitlement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• [ ] جلوگیری از بازکردن مستقیم مسیر غیرمجاز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• [ ] عدم مشاهده داده Tenant دیگر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• [ ] اعمال حالت فقط‌خواندنی برای رئیس و بازرس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• [ ] نمایش فقط داده خود برای مالک و ساکن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>• [ ] خروج امن و پاک‌شدن Context نشست</w:t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color w:val="000000"/>
          <w:sz w:val="34"/>
        </w:rPr>
        <w:t>14. منابع فنی داخلی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 xml:space="preserve">• </w:t>
      </w:r>
      <w:r>
        <w:rPr>
          <w:rFonts w:ascii="DejaVu Sans Mono" w:hAnsi="DejaVu Sans Mono" w:cs="DejaVu Sans Mono"/>
          <w:color w:val="102A43"/>
          <w:sz w:val="19"/>
        </w:rPr>
        <w:t>src/components/platform/PlatformShell.tsx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 xml:space="preserve">• </w:t>
      </w:r>
      <w:r>
        <w:rPr>
          <w:rFonts w:ascii="DejaVu Sans Mono" w:hAnsi="DejaVu Sans Mono" w:cs="DejaVu Sans Mono"/>
          <w:color w:val="102A43"/>
          <w:sz w:val="19"/>
        </w:rPr>
        <w:t>src/components/platform/OperationalWorkspacesTable.tsx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 xml:space="preserve">• </w:t>
      </w:r>
      <w:r>
        <w:rPr>
          <w:rFonts w:ascii="DejaVu Sans Mono" w:hAnsi="DejaVu Sans Mono" w:cs="DejaVu Sans Mono"/>
          <w:color w:val="102A43"/>
          <w:sz w:val="19"/>
        </w:rPr>
        <w:t>src/lib/platform/auth.ts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 xml:space="preserve">• </w:t>
      </w:r>
      <w:r>
        <w:rPr>
          <w:rFonts w:ascii="DejaVu Sans Mono" w:hAnsi="DejaVu Sans Mono" w:cs="DejaVu Sans Mono"/>
          <w:color w:val="102A43"/>
          <w:sz w:val="19"/>
        </w:rPr>
        <w:t>src/components/customer/CustomerAppShell.tsx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 xml:space="preserve">• </w:t>
      </w:r>
      <w:r>
        <w:rPr>
          <w:rFonts w:ascii="DejaVu Sans Mono" w:hAnsi="DejaVu Sans Mono" w:cs="DejaVu Sans Mono"/>
          <w:color w:val="102A43"/>
          <w:sz w:val="19"/>
        </w:rPr>
        <w:t>src/lib/customer/access-matrix.ts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 xml:space="preserve">• </w:t>
      </w:r>
      <w:r>
        <w:rPr>
          <w:rFonts w:ascii="DejaVu Sans Mono" w:hAnsi="DejaVu Sans Mono" w:cs="DejaVu Sans Mono"/>
          <w:color w:val="102A43"/>
          <w:sz w:val="19"/>
        </w:rPr>
        <w:t>src/lib/customer/route-classifier.ts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 xml:space="preserve">• </w:t>
      </w:r>
      <w:r>
        <w:rPr>
          <w:rFonts w:ascii="DejaVu Sans Mono" w:hAnsi="DejaVu Sans Mono" w:cs="DejaVu Sans Mono"/>
          <w:color w:val="102A43"/>
          <w:sz w:val="19"/>
        </w:rPr>
        <w:t>src/app/api/platform/v1/workspaces/[id]/invitations/route.ts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 xml:space="preserve">• </w:t>
      </w:r>
      <w:r>
        <w:rPr>
          <w:rFonts w:ascii="DejaVu Sans Mono" w:hAnsi="DejaVu Sans Mono" w:cs="DejaVu Sans Mono"/>
          <w:color w:val="102A43"/>
          <w:sz w:val="19"/>
        </w:rPr>
        <w:t>src/components/auth/WorkspaceInvitationContinuation.tsx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 xml:space="preserve">• </w:t>
      </w:r>
      <w:r>
        <w:rPr>
          <w:rFonts w:ascii="DejaVu Sans Mono" w:hAnsi="DejaVu Sans Mono" w:cs="DejaVu Sans Mono"/>
          <w:color w:val="102A43"/>
          <w:sz w:val="19"/>
        </w:rPr>
        <w:t>docs/architecture/ADR-CLD-023-platform-control-plane.md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 xml:space="preserve">• </w:t>
      </w:r>
      <w:r>
        <w:rPr>
          <w:rFonts w:ascii="DejaVu Sans Mono" w:hAnsi="DejaVu Sans Mono" w:cs="DejaVu Sans Mono"/>
          <w:color w:val="102A43"/>
          <w:sz w:val="19"/>
        </w:rPr>
        <w:t>docs/architecture/ADR-CLD-024-secure-workspace-invitations.md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 xml:space="preserve">• </w:t>
      </w:r>
      <w:r>
        <w:rPr>
          <w:rFonts w:ascii="DejaVu Sans Mono" w:hAnsi="DejaVu Sans Mono" w:cs="DejaVu Sans Mono"/>
          <w:color w:val="102A43"/>
          <w:sz w:val="19"/>
        </w:rPr>
        <w:t>docs/architecture/ADR-CLD-048-tokenless-workspace-invitation-contract.md</w:t>
      </w:r>
    </w:p>
    <w:p>
      <w:pPr>
        <w:ind w:right="317" w:hanging="216"/>
        <w:jc w:val="right"/>
        <w:bidi w:val="1"/>
      </w:pPr>
      <w:r>
        <w:rPr>
          <w:rFonts w:ascii="DejaVu Sans" w:hAnsi="DejaVu Sans" w:cs="DejaVu Sans"/>
          <w:color w:val="000000"/>
          <w:sz w:val="20"/>
        </w:rPr>
        <w:t xml:space="preserve">• </w:t>
      </w:r>
      <w:r>
        <w:rPr>
          <w:rFonts w:ascii="DejaVu Sans Mono" w:hAnsi="DejaVu Sans Mono" w:cs="DejaVu Sans Mono"/>
          <w:color w:val="102A43"/>
          <w:sz w:val="19"/>
        </w:rPr>
        <w:t>docs/architecture/ADR-CLD-049-balanced-password-role-aware-mfa.md</w:t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color w:val="000000"/>
          <w:sz w:val="34"/>
        </w:rPr>
        <w:t>15. ثبت تصمیم‌های بازبینی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68"/>
        <w:gridCol w:w="2068"/>
        <w:gridCol w:w="2068"/>
        <w:gridCol w:w="2068"/>
        <w:gridCol w:w="2068"/>
      </w:tblGrid>
      <w:tr>
        <w:trPr>
          <w:cantSplit/>
          <w:tblHeader w:val="true"/>
        </w:trPr>
        <w:tc>
          <w:tcPr>
            <w:tcW w:type="dxa" w:w="136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6"/>
              </w:rPr>
              <w:t>تاریخ</w:t>
            </w:r>
          </w:p>
        </w:tc>
        <w:tc>
          <w:tcPr>
            <w:tcW w:type="dxa" w:w="194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center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6"/>
              </w:rPr>
              <w:t>موضوع</w:t>
            </w:r>
          </w:p>
        </w:tc>
        <w:tc>
          <w:tcPr>
            <w:tcW w:type="dxa" w:w="223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center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6"/>
              </w:rPr>
              <w:t>تصمیم</w:t>
            </w:r>
          </w:p>
        </w:tc>
        <w:tc>
          <w:tcPr>
            <w:tcW w:type="dxa" w:w="223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center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6"/>
              </w:rPr>
              <w:t>مسئول</w:t>
            </w:r>
          </w:p>
        </w:tc>
        <w:tc>
          <w:tcPr>
            <w:tcW w:type="dxa" w:w="237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102A43"/>
          </w:tcPr>
          <w:p>
            <w:pPr>
              <w:spacing w:after="0" w:line="252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DejaVu Sans" w:hAnsi="DejaVu Sans" w:cs="DejaVu Sans"/>
                <w:b/>
                <w:color w:val="FFFFFF"/>
                <w:sz w:val="16"/>
              </w:rPr>
              <w:t>وضعیت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2026-09-24</w:t>
            </w:r>
          </w:p>
        </w:tc>
        <w:tc>
          <w:tcPr>
            <w:tcW w:type="dxa" w:w="194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نسخه اولیه نقش‌ها، منوها و دعوت مدیر</w:t>
            </w:r>
          </w:p>
        </w:tc>
        <w:tc>
          <w:tcPr>
            <w:tcW w:type="dxa" w:w="223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آماده بازبینی مشترک</w:t>
            </w:r>
          </w:p>
        </w:tc>
        <w:tc>
          <w:tcPr>
            <w:tcW w:type="dxa" w:w="223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CLADORA</w:t>
            </w:r>
          </w:p>
        </w:tc>
        <w:tc>
          <w:tcPr>
            <w:tcW w:type="dxa" w:w="237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FFFFF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باز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2026-09-24</w:t>
            </w:r>
          </w:p>
        </w:tc>
        <w:tc>
          <w:tcPr>
            <w:tcW w:type="dxa" w:w="194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gateway قبول دعوت و نگاشت مدیر اصلی</w:t>
            </w:r>
          </w:p>
        </w:tc>
        <w:tc>
          <w:tcPr>
            <w:tcW w:type="dxa" w:w="223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اصلاح در کد؛ منتظر CI و استقرار</w:t>
            </w:r>
          </w:p>
        </w:tc>
        <w:tc>
          <w:tcPr>
            <w:tcW w:type="dxa" w:w="2232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CLADORA</w:t>
            </w:r>
          </w:p>
        </w:tc>
        <w:tc>
          <w:tcPr>
            <w:tcW w:type="dxa" w:w="237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shd w:fill="F3F7FA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DejaVu Sans" w:hAnsi="DejaVu Sans" w:cs="DejaVu Sans"/>
                <w:color w:val="000000"/>
                <w:sz w:val="16"/>
              </w:rPr>
              <w:t>در حال انجام</w:t>
            </w:r>
          </w:p>
        </w:tc>
      </w:tr>
    </w:tbl>
    <w:p>
      <w:pPr>
        <w:spacing w:after="40"/>
      </w:pPr>
    </w:p>
    <w:sectPr>
      <w:footerReference w:type="default" r:id="rId13"/>
      <w:pgSz w:w="12240" w:h="15840"/>
      <w:pgMar w:top="1037" w:right="950" w:bottom="979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cs="DejaVu Sans"/>
        <w:color w:val="486581"/>
        <w:sz w:val="16"/>
      </w:rPr>
      <w:t xml:space="preserve">CLADORA  |  Roles Menus and User Journeys  |  v1.1  |  </w:t>
    </w:r>
    <w:fldSimple w:instr="PAGE">
      <w:r>
        <w:rPr>
          <w:color w:val="486581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DejaVu Sans" w:hAnsi="DejaVu Sans" w:cs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00"/>
      <w:contextualSpacing/>
    </w:pPr>
    <w:rPr>
      <w:rFonts w:asciiTheme="majorHAnsi" w:eastAsiaTheme="majorEastAsia" w:hAnsiTheme="majorHAnsi" w:cstheme="majorBidi" w:ascii="DejaVu Sans" w:hAnsi="DejaVu Sans" w:cs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راهنمای نقش‌ها منوها و مسیرهای کاربری CLADORA</dc:title>
  <dc:subject>راهنمای عملیاتی Control Plane و Customer Data Plane و دعوت مدیر اصلی</dc:subject>
  <dc:creator/>
  <cp:keywords>CLADORA, roles, menus, invitation, access control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