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دستورالعمل تجربه کاربری کلادورا</w:t>
      </w:r>
    </w:p>
    <w:p>
      <w:pPr>
        <w:jc w:val="right"/>
        <w:bidi/>
      </w:pPr>
      <w:r>
        <w:t>سادگی کاربری و اجرای کنترل‌ها در پشت سیستم</w:t>
      </w:r>
    </w:p>
    <w:p>
      <w:pPr>
        <w:jc w:val="right"/>
        <w:bidi/>
      </w:pPr>
      <w:r>
        <w:t>CLADORA UX and Background Controls Directive v1.0</w:t>
      </w:r>
    </w:p>
    <w:p>
      <w:pPr>
        <w:jc w:val="right"/>
        <w:bidi/>
      </w:pPr>
      <w:r>
        <w:t>تاریخ ۲۰۲۶/۱۰/۰۵ | مبنا تصمیم مستقیم کاربر | لازم‌الرعایه در طراحی و توسعه</w:t>
      </w:r>
    </w:p>
    <w:p>
      <w:pPr>
        <w:pStyle w:val="Heading1"/>
        <w:jc w:val="right"/>
        <w:bidi/>
      </w:pPr>
      <w:r>
        <w:t>اصل حاکم</w:t>
      </w:r>
    </w:p>
    <w:p>
      <w:pPr>
        <w:jc w:val="right"/>
        <w:bidi/>
      </w:pPr>
      <w:r>
        <w:t>کاربر باید بتواند کار خود را با مسیر روشن، اطلاعات قابل‌فهم و کمترین اقدام غیرضروری انجام دهد. امنیت، کنترل دسترسی و قواعد معتبر کسب‌وکار در پشت سیستم اجرا می‌شوند. پیچیدگی داخلی نباید به کاربر منتقل شود؛ پیام، تأیید یا احراز هویت فقط در زمان و محدوده‌ای درخواست شود که برای اقدام او لازم است.</w:t>
      </w:r>
    </w:p>
    <w:p>
      <w:pPr>
        <w:jc w:val="right"/>
        <w:bidi/>
      </w:pPr>
      <w:r>
        <w:t>اجرای پنهان کنترل‌ها به معنای پنهان‌کردن هزینه، تعهد، رضایت، پیامد مالی یا تغییر دسترسی نیست. این موارد پیش از اقدام با زبان ساده روشن می‌شوند. سهولت کاربری مجوز حذف یا دورزدن کنترل امنیتی نیست.</w:t>
      </w:r>
    </w:p>
    <w:p>
      <w:pPr>
        <w:pStyle w:val="Heading1"/>
        <w:jc w:val="right"/>
        <w:bidi/>
      </w:pPr>
      <w:r>
        <w:t>دامنه دائمی</w:t>
      </w:r>
    </w:p>
    <w:p>
      <w:pPr>
        <w:jc w:val="right"/>
        <w:bidi/>
      </w:pPr>
      <w:r>
        <w:t>این دستورالعمل شامل تمام منوها، صفحات، فرم‌ها، گزارش‌ها، پیام‌ها، اعلان‌ها و فرایندهای جاری و جدید در هسته و عملیات CLADORA، AIRPROP و SERVICE است. برای کاربران داخلی پلتفرم و کاربران مشتری کاربرد دارد؛ جزئیات هر نقش متناسب با وظیفه او نمایش داده می‌شود.</w:t>
      </w:r>
    </w:p>
    <w:p>
      <w:pPr>
        <w:jc w:val="right"/>
        <w:bidi/>
      </w:pPr>
      <w:r>
        <w:t>شماره ورک صرفاً شماره جلسه است. مسئولیت اجرای این سند با انتقال CLADORA 11 به شماره بعد یا انتقال AIRPROP و SERVICE به ورک بعد، بدون تغییر ادامه دارد. سند باید در بسته تحویل هر جانشین ذکر شود.</w:t>
      </w:r>
    </w:p>
    <w:p>
      <w:pPr>
        <w:pStyle w:val="Heading1"/>
        <w:jc w:val="right"/>
        <w:bidi/>
      </w:pPr>
      <w:r>
        <w:t>معیار تصمیم طراحی</w:t>
      </w:r>
    </w:p>
    <w:p>
      <w:pPr>
        <w:jc w:val="right"/>
        <w:bidi/>
      </w:pPr>
      <w:r>
        <w:t>در هر صفحه باید پاسخ سه سؤال روشن باشد: اکنون کجا هستم، چه کاری می‌توانم انجام دهم و قدم بعد چیست. تعداد کلیک به‌تنهایی معیار کیفیت نیست؛ فهم درست، حفظ اطلاعات واردشده و جلوگیری از خطای پرهزینه اولویت دارند.</w:t>
      </w:r>
    </w:p>
    <w:p>
      <w:pPr>
        <w:pStyle w:val="Heading1"/>
        <w:jc w:val="right"/>
        <w:bidi/>
      </w:pPr>
      <w:r>
        <w:t>جایگاه سند</w:t>
      </w:r>
    </w:p>
    <w:p>
      <w:pPr>
        <w:jc w:val="right"/>
        <w:bidi/>
      </w:pPr>
      <w:r>
        <w:t>این سند مکمل بسته معماری چرخه عمر v1.1 است و نسخه‌های پیشین را جایگزین نمی‌کند. شناسه محلی تصمیم UX-DEC-001 است؛ شماره رسمی ADR پس از بررسی رجیستر تعیین شود. این سند الزامات محصول را تعریف می‌کند و ادعای تأیید حقوقی یا انطباق پیاده‌سازی فعلی نیست.</w:t>
      </w:r>
    </w:p>
    <w:p>
      <w:pPr>
        <w:pStyle w:val="Heading1"/>
        <w:jc w:val="right"/>
        <w:pageBreakBefore/>
        <w:bidi/>
      </w:pPr>
      <w:r>
        <w:t>قواعد منو و فرم</w:t>
      </w:r>
    </w:p>
    <w:p>
      <w:pPr>
        <w:pStyle w:val="Heading1"/>
        <w:jc w:val="right"/>
        <w:bidi/>
      </w:pPr>
      <w:r>
        <w:t>منو و مسیر حرکت</w:t>
      </w:r>
    </w:p>
    <w:p>
      <w:pPr>
        <w:jc w:val="right"/>
        <w:bidi/>
      </w:pPr>
      <w:r>
        <w:t>UX-01 — منو بر اساس کار قابل انجام و نقش فعال تنظیم شود. نام‌ها مانند «املاک من»، «درخواست خدمت»، «قراردادها» و «پرداخت‌ها» باشند. نام فنی schema، tenant، entitlement یا شناسه داخلی جای عنوان کاربر قرار نگیرد.</w:t>
      </w:r>
    </w:p>
    <w:p>
      <w:pPr>
        <w:jc w:val="right"/>
        <w:bidi/>
      </w:pPr>
      <w:r>
        <w:t>UX-02 — Workspace و موضوع جاری، مانند ساختمان یا واحد، همیشه روشن باشند. تغییر زمینه نباید فرم را بی‌هشدار پاک کند یا کاربر را در زمینه اشتباه باقی بگذارد. بازگشت از جزئیات، جست‌وجو و فیلتر قبلی را حفظ کند.</w:t>
      </w:r>
    </w:p>
    <w:p>
      <w:pPr>
        <w:jc w:val="right"/>
        <w:bidi/>
      </w:pPr>
      <w:r>
        <w:t>UX-03 — اقدام اصلی صفحه مشخص و اقدامات فرعی قابل تشخیص باشند. ویرایش، ذخیره و صدور پیش‌نویس باید دکمه واقعی و دارای برچسب روشن باشند. رنگ تنها نشانه وضعیت یا قابلیت کلیک نباشد.</w:t>
      </w:r>
    </w:p>
    <w:p>
      <w:pPr>
        <w:jc w:val="right"/>
        <w:bidi/>
      </w:pPr>
      <w:r>
        <w:t>UX-04 — گزینه نامرتبط نمایش داده نشود. اگر گزینه برای فهم فرایند لازم است ولی فعلاً قابل انجام نیست، علت کوتاه و مسیر رفع آن نمایش داده شود؛ نمایش گزینه نباید اطلاعات غیرمجاز را افشا کند.</w:t>
      </w:r>
    </w:p>
    <w:p>
      <w:pPr>
        <w:pStyle w:val="Heading1"/>
        <w:jc w:val="right"/>
        <w:bidi/>
      </w:pPr>
      <w:r>
        <w:t>فرم و ثبت اطلاعات</w:t>
      </w:r>
    </w:p>
    <w:p>
      <w:pPr>
        <w:jc w:val="right"/>
        <w:bidi/>
      </w:pPr>
      <w:r>
        <w:t>UX-05 — فقط اطلاعات لازم برای مرحله جاری خواسته شود. اطلاعات معتبر موجود با ذکر زمینه پیش‌پر شوند و کاربر بتواند آن‌ها را بررسی کند. فیلد اختیاری مشخص باشد؛ داده یکسان چند بار درخواست نشود.</w:t>
      </w:r>
    </w:p>
    <w:p>
      <w:pPr>
        <w:jc w:val="right"/>
        <w:bidi/>
      </w:pPr>
      <w:r>
        <w:t>UX-06 — فرم طولانی به گام‌های معنادار تقسیم شود. پیشرفت، امکان بازگشت و خلاصه پیش از ثبت نهایی روشن باشد. ذخیره پیش‌نویس و بازیابی اطلاعات در جریان‌های طولانی فراهم شود؛ اطلاعات حساس در محل نامناسب مرورگر ذخیره نشود.</w:t>
      </w:r>
    </w:p>
    <w:p>
      <w:pPr>
        <w:jc w:val="right"/>
        <w:bidi/>
      </w:pPr>
      <w:r>
        <w:t>UX-07 — خطای هر فیلد کنار همان فیلد و با روش اصلاح بیان شود. خطای سرور یا پایان جلسه نباید داده واردشده را بی‌دلیل از بین ببرد. هنگام ثبت، وضعیت انتظار معلوم و ثبت تکراری هم در رابط و هم در سرور کنترل شود.</w:t>
      </w:r>
    </w:p>
    <w:p>
      <w:pPr>
        <w:jc w:val="right"/>
        <w:bidi/>
      </w:pPr>
      <w:r>
        <w:t>UX-08 — تاریخ، مبلغ، واحد اندازه‌گیری و زبان متناسب با تنظیمات کاربر نمایش داده شوند. جهت فارسی راست‌به‌چپ و شناسه‌ها یا اعداد ترکیبی خوانا باشند. مبلغ همراه ارز و تاریخ تعهد بدون ابهام نشان داده شود.</w:t>
      </w:r>
    </w:p>
    <w:p>
      <w:pPr>
        <w:pStyle w:val="Heading1"/>
        <w:jc w:val="right"/>
        <w:bidi/>
      </w:pPr>
      <w:r>
        <w:t>دسترس‌پذیری و دستگاه</w:t>
      </w:r>
    </w:p>
    <w:p>
      <w:pPr>
        <w:jc w:val="right"/>
        <w:bidi/>
      </w:pPr>
      <w:r>
        <w:t>فرم با صفحه‌کلید قابل استفاده باشد؛ فوکوس دیده شود، برچسب فیلدها برای فناوری کمکی قابل تشخیص باشد و پیام خطا به فیلد مربوط متصل شود. در موبایل اقدام اصلی و محتوای ضروری قابل استفاده بمانند. موارد بارگذاری، خالی، خطا و قطع اتصال طراحی مشخص داشته باشند.</w:t>
      </w:r>
    </w:p>
    <w:p>
      <w:pPr>
        <w:pStyle w:val="Heading1"/>
        <w:jc w:val="right"/>
        <w:pageBreakBefore/>
        <w:bidi/>
      </w:pPr>
      <w:r>
        <w:t>فرایندها گزارش‌ها و پیام‌ها</w:t>
      </w:r>
    </w:p>
    <w:p>
      <w:pPr>
        <w:pStyle w:val="Heading1"/>
        <w:jc w:val="right"/>
        <w:bidi/>
      </w:pPr>
      <w:r>
        <w:t>فرایند اجرایی</w:t>
      </w:r>
    </w:p>
    <w:p>
      <w:pPr>
        <w:jc w:val="right"/>
        <w:bidi/>
      </w:pPr>
      <w:r>
        <w:t>UX-09 — هر پرونده وضعیت فعلی، مسئول اقدام بعدی و کار باقی‌مانده را نشان دهد. وضعیت‌هایی مانند پیش‌نویس، ارسال‌شده، نیازمند اصلاح و تکمیل‌شده با معنای ثابت استفاده شوند. پایان یک گام با پایان کل پرونده اشتباه نشود.</w:t>
      </w:r>
    </w:p>
    <w:p>
      <w:pPr>
        <w:jc w:val="right"/>
        <w:bidi/>
      </w:pPr>
      <w:r>
        <w:t>UX-10 — کاربر برای انجام یک هدف میان AIRPROP، SERVICE و Operations سرگردان نشود. پیوندها زمینه ملک و پرونده را حفظ کنند. جزئیات فنی ارتباط سفارش با دستورکار در رابط معمول پنهان بماند و نتیجه قابل پیگیری نمایش داده شود.</w:t>
      </w:r>
    </w:p>
    <w:p>
      <w:pPr>
        <w:jc w:val="right"/>
        <w:bidi/>
      </w:pPr>
      <w:r>
        <w:t>UX-11 — تأییدهای تکراری حذف شوند. تأیید متناسب با پیامد برای اقدام حساس، مانند تعهد مالی، ارسال نهایی یا انتقال اختیار، باقی بماند. قبل از اقدام، موضوع، طرف، مبلغ یا اثر تغییر روشن باشد. لغو و بازگشت در موارد ممکن در دسترس باشد.</w:t>
      </w:r>
    </w:p>
    <w:p>
      <w:pPr>
        <w:pStyle w:val="Heading1"/>
        <w:jc w:val="right"/>
        <w:bidi/>
      </w:pPr>
      <w:r>
        <w:t>گزارش</w:t>
      </w:r>
    </w:p>
    <w:p>
      <w:pPr>
        <w:jc w:val="right"/>
        <w:bidi/>
      </w:pPr>
      <w:r>
        <w:t>UX-12 — هر گزارش عنوان، بازه زمانی، محدوده ملک یا Workspace، فیلترهای فعال، واحد و ارز و زمان به‌روزرسانی داشته باشد. خلاصه قابل فهم با امکان مشاهده جزئیات مرتبط ارائه شود. صفر، نبود داده و خطای دریافت سه حالت متفاوت‌اند.</w:t>
      </w:r>
    </w:p>
    <w:p>
      <w:pPr>
        <w:jc w:val="right"/>
        <w:bidi/>
      </w:pPr>
      <w:r>
        <w:t>UX-13 — خروجی دانلودی همان محدوده و مجوز گزارش را رعایت کند. جمع چند ارز بدون روش تبدیل روشن انجام نشود. ارقام با منبع قابل ردیابی باشند و کاربر بتواند از عدد به موارد تشکیل‌دهنده مجاز برسد.</w:t>
      </w:r>
    </w:p>
    <w:p>
      <w:pPr>
        <w:pStyle w:val="Heading1"/>
        <w:jc w:val="right"/>
        <w:bidi/>
      </w:pPr>
      <w:r>
        <w:t>پیام و اعلان</w:t>
      </w:r>
    </w:p>
    <w:p>
      <w:pPr>
        <w:jc w:val="right"/>
        <w:bidi/>
      </w:pPr>
      <w:r>
        <w:t>UX-14 — پیام بگوید چه اتفاقی افتاده و اکنون چه باید کرد. عباراتی مانند «خطای RLS»، «AAL2 لازم است»، «UUID نامعتبر» یا stack trace در رابط عمومی نمایش داده نشوند. جزئیات فنی با شناسه پیگیری برای پشتیبانی مجاز ثبت شوند.</w:t>
      </w:r>
    </w:p>
    <w:p>
      <w:pPr>
        <w:jc w:val="right"/>
        <w:bidi/>
      </w:pPr>
      <w:r>
        <w:t>نمونه‌ها: «برای ادامه، هویت خود را تأیید کنید.»؛ «این واحد اکنون قابل رزرو نیست؛ گزینه دیگری انتخاب کنید.»؛ «اطلاعات ذخیره نشد. موارد مشخص‌شده را اصلاح کنید.» متن باید با علت واقعی خطا سازگار باشد.</w:t>
      </w:r>
    </w:p>
    <w:p>
      <w:pPr>
        <w:jc w:val="right"/>
        <w:bidi/>
      </w:pPr>
      <w:r>
        <w:t>UX-15 — اعلان فقط برای مخاطب مجاز و زمانی ارسال شود که ارزش عملی دارد. اعلان‌های تکراری تجمیع شوند. متن ایمیل یا اعلان دستگاه اطلاعات خصوصی غیرضروری را آشکار نکند. انتخاب کانال و رضایت لازم طبق سیاست مصوب رعایت شود.</w:t>
      </w:r>
    </w:p>
    <w:p>
      <w:pPr>
        <w:pStyle w:val="Heading1"/>
        <w:jc w:val="right"/>
        <w:pageBreakBefore/>
        <w:bidi/>
      </w:pPr>
      <w:r>
        <w:t>کنترل‌های پشت سیستم و مسئولیت اجرا</w:t>
      </w:r>
    </w:p>
    <w:p>
      <w:pPr>
        <w:pStyle w:val="Heading1"/>
        <w:jc w:val="right"/>
        <w:bidi/>
      </w:pPr>
      <w:r>
        <w:t>کنترل امنیتی بدون تحمیل پیچیدگی</w:t>
      </w:r>
    </w:p>
    <w:p>
      <w:pPr>
        <w:jc w:val="right"/>
        <w:bidi/>
      </w:pPr>
      <w:r>
        <w:t>SEC-01 — هویت، نقش فعال، Workspace، رابطه معتبر، محدوده، زمان و حق استفاده از قابلیت در سرور و مسیر داده بررسی شوند. مخفی‌کردن دکمه کنترل امنیتی محسوب نمی‌شود. هوش مصنوعی نیز همین محدوده را رعایت کند.</w:t>
      </w:r>
    </w:p>
    <w:p>
      <w:pPr>
        <w:jc w:val="right"/>
        <w:bidi/>
      </w:pPr>
      <w:r>
        <w:t>SEC-02 — تأیید هویت معتبر موجود استفاده شود؛ کاربر برای هر باکس دوباره تأیید نکند. احراز مجدد فقط وقتی سیاست امنیتی لازم می‌داند انجام شود و پس از موفقیت، کاربر به همان اقدام برگردد. اعتبار جلسه و شرط عملیات در سرور کنترل شوند.</w:t>
      </w:r>
    </w:p>
    <w:p>
      <w:pPr>
        <w:jc w:val="right"/>
        <w:bidi/>
      </w:pPr>
      <w:r>
        <w:t>SEC-03 — مجوز فایل، بارگذاری امن، بررسی فایل و ثبت سوابق در پشت سیستم انجام شوند. تا آماده‌شدن فایل، وضعیت ساده مانند «در حال بررسی فایل» نمایش داده شود. موفقیت کاذب یا دسترسی پیش از تکمیل کنترل نمایش داده نشود.</w:t>
      </w:r>
    </w:p>
    <w:p>
      <w:pPr>
        <w:jc w:val="right"/>
        <w:bidi/>
      </w:pPr>
      <w:r>
        <w:t>SEC-04 — پاسخ عدم دسترسی نباید وجود اطلاعات خصوصی دیگری را افشا کند. مجوزها در جست‌وجو، فهرست، خروجی، لینک فایل و پاسخ دستیار نیز اعمال شوند. دسترسی لغوشده نباید از مسیر میان‌بر باقی بماند.</w:t>
      </w:r>
    </w:p>
    <w:p>
      <w:pPr>
        <w:jc w:val="right"/>
        <w:bidi/>
      </w:pPr>
      <w:r>
        <w:t>RULE-01 — قواعد معتبر هر کشور، قرارداد و نوع عملیات به‌صورت نسخه‌دار و قابل بررسی پیاده شوند. قواعد فاقد تصمیم مشخص به‌عنوان نیازمند تصمیم ثبت شوند. اطلاع‌رسانی لازم، رضایت و پذیرش شرایط با متن ساده و سابقه معتبر انجام شود.</w:t>
      </w:r>
    </w:p>
    <w:p>
      <w:pPr>
        <w:pStyle w:val="Heading1"/>
        <w:jc w:val="right"/>
        <w:bidi/>
      </w:pPr>
      <w:r>
        <w:t>تقسیم مسئولیت</w:t>
      </w:r>
    </w:p>
    <w:p>
      <w:pPr>
        <w:jc w:val="right"/>
        <w:bidi/>
      </w:pPr>
      <w:r>
        <w:t>هسته و عملیات CLADORA — الگوهای مشترک منو، فرم، پیام، تأیید هویت، زمینه Workspace، گزارش و کنترل دسترسی را نگهداری کند. عملیات ساختمان، مصرف، نگهداری و دستورکار از همین الگو استفاده کنند.</w:t>
      </w:r>
    </w:p>
    <w:p>
      <w:pPr>
        <w:jc w:val="right"/>
        <w:bidi/>
      </w:pPr>
      <w:r>
        <w:t>AIRPROP — پیش‌فروش، متقاضی، رزرو، معامله، اجاره و تحویل را با زبان روزمره و نمایش روشن تعهدات تکمیل کند. قرارداد و اسناد و پرداخت مشترک دوباره ساخته نشوند.</w:t>
      </w:r>
    </w:p>
    <w:p>
      <w:pPr>
        <w:jc w:val="right"/>
        <w:bidi/>
      </w:pPr>
      <w:r>
        <w:t>SERVICE — انتخاب خدمت، زمان، مکان، هزینه، سفارش، پیگیری و پذیرش را ساده کند. کاربر در هر لحظه بداند چه کسی چه کاری انجام می‌دهد و اقدام بعدی از چه کسی است.</w:t>
      </w:r>
    </w:p>
    <w:p>
      <w:pPr>
        <w:jc w:val="right"/>
        <w:bidi/>
      </w:pPr>
      <w:r>
        <w:t>هر مسیر مسئول اصلاح صفحات موجود خودش و رعایت این دستور در کار جدید است. تغییرات مشترک یک‌بار در مسیر هسته اجرا شوند. گزارش مشکل UX همراه با صفحه، نقش، زمینه، رفتار مشاهده‌شده و اثر بر کاربر ثبت شود.</w:t>
      </w:r>
    </w:p>
    <w:p>
      <w:pPr>
        <w:pStyle w:val="Heading1"/>
        <w:jc w:val="right"/>
        <w:pageBreakBefore/>
        <w:bidi/>
      </w:pPr>
      <w:r>
        <w:t>معیار پذیرش و دستور ابلاغ</w:t>
      </w:r>
    </w:p>
    <w:p>
      <w:pPr>
        <w:pStyle w:val="Heading1"/>
        <w:jc w:val="right"/>
        <w:bidi/>
      </w:pPr>
      <w:r>
        <w:t>شرط تکمیل هر تغییر</w:t>
      </w:r>
    </w:p>
    <w:p>
      <w:pPr>
        <w:jc w:val="right"/>
        <w:bidi/>
      </w:pPr>
      <w:r>
        <w:t>QA-01 — یک جریان واقعی با نقش و Workspace درست از شروع تا نتیجه اجرا شود. کاربر بتواند اقدام اصلی، وضعیت و قدم بعد را تشخیص دهد.</w:t>
      </w:r>
    </w:p>
    <w:p>
      <w:pPr>
        <w:jc w:val="right"/>
        <w:bidi/>
      </w:pPr>
      <w:r>
        <w:t>QA-02 — حالت بارگذاری، خالی، خطای فیلد، خطای سرور، قطع اتصال و پایان جلسه بررسی شود. اطلاعات واردشده در مسیرهای تعریف‌شده حفظ و ثبت دوباره کنترل شود.</w:t>
      </w:r>
    </w:p>
    <w:p>
      <w:pPr>
        <w:jc w:val="right"/>
        <w:bidi/>
      </w:pPr>
      <w:r>
        <w:t>QA-03 — رابط با صفحه‌کلید، موبایل و زبان‌های فعال بررسی شود. دکمه‌ها، فوکوس، برچسب‌ها و پیام‌های خطا قابل تشخیص باشند.</w:t>
      </w:r>
    </w:p>
    <w:p>
      <w:pPr>
        <w:jc w:val="right"/>
        <w:bidi/>
      </w:pPr>
      <w:r>
        <w:t>QA-04 — دسترسی غیرمجاز با درخواست مستقیم نیز رد شود؛ گزارش، خروجی و فایل محدودیت یکسان داشته باشند. ساده‌سازی رابط نباید آزمون امنیتی قبلی را تضعیف کند.</w:t>
      </w:r>
    </w:p>
    <w:p>
      <w:pPr>
        <w:jc w:val="right"/>
        <w:bidi/>
      </w:pPr>
      <w:r>
        <w:t>QA-05 — فرایند حساس اثر اقدام را پیش از ثبت روشن کند. تأیید یا ورود دوباره غیرضروری وجود نداشته باشد و تأیید لازم حفظ شود.</w:t>
      </w:r>
    </w:p>
    <w:p>
      <w:pPr>
        <w:jc w:val="right"/>
        <w:bidi/>
      </w:pPr>
      <w:r>
        <w:t>QA-06 — نتیجه با شواهد ثبت شود: صفحه و سناریو، نقش، محیط، نسخه، نتیجه و ایراد باقی‌مانده. در آزمون کاربری، زمان انجام، خطاها، نیاز به کمک و رهاکردن فرایند اندازه‌گیری شوند؛ هدف عددی بدون خط مبنا ادعا نشود.</w:t>
      </w:r>
    </w:p>
    <w:p>
      <w:pPr>
        <w:pStyle w:val="Heading1"/>
        <w:jc w:val="right"/>
        <w:bidi/>
      </w:pPr>
      <w:r>
        <w:t>متن ابلاغ به هر ورک جاری و جانشین آن</w:t>
      </w:r>
    </w:p>
    <w:p>
      <w:pPr>
        <w:jc w:val="right"/>
        <w:bidi/>
      </w:pPr>
      <w:r>
        <w:t>این سند به‌عنوان دستور مشترک تجربه کاربری CLADORA به مرجع کار اضافه شود. تمام منوها، فرم‌ها، گزارش‌ها و فرایندهای جدید و موجود در دامنه این ورک با آن تطبیق داده شوند. کنترل‌های امنیتی و قواعد معتبر در پشت سیستم اجرا شوند؛ کاربر فقط توضیح روشن و اقدام لازم را ببیند. ابتدا شکاف‌های واقعی را با شواهد ثبت کن، اصلاح اختصاصی را در همین مسیر انجام بده و تغییر مشترک را به مسیر هسته ارجاع بده. تکمیل هر Task شامل بررسی UX و امنیت باشد. سند، شکاف‌های باز و نتایج آزمون به ورک شماره بعد منتقل شوند.</w:t>
      </w:r>
    </w:p>
    <w:p>
      <w:pPr>
        <w:pStyle w:val="Heading1"/>
        <w:jc w:val="right"/>
        <w:bidi/>
      </w:pPr>
      <w:r>
        <w:t>قالب گزارش انطباق</w:t>
      </w:r>
    </w:p>
    <w:p>
      <w:pPr>
        <w:jc w:val="right"/>
        <w:bidi/>
      </w:pPr>
      <w:r>
        <w:t>شناسه قاعده | صفحه یا فرایند | نقش و Workspace | وضعیت موجود | ایراد و اثر | مسیر مسئول | اصلاح | شواهد آزمون | وضعیت نهایی. گزینه‌های وضعیت: بررسی‌نشده، منطبق، نیازمند اصلاح، وابسته به هسته.</w:t>
      </w:r>
    </w:p>
    <w:p>
      <w:pPr>
        <w:pStyle w:val="Heading1"/>
        <w:jc w:val="right"/>
        <w:bidi/>
      </w:pPr>
      <w:r>
        <w:t>ثبت و حدود تحویل</w:t>
      </w:r>
    </w:p>
    <w:p>
      <w:pPr>
        <w:jc w:val="right"/>
        <w:bidi/>
      </w:pPr>
      <w:r>
        <w:t>نسخه ۱٫۰ شامل اصل حاکم، ۱۵ قاعده تجربه کاربری، ۴ قاعده امنیتی، قاعده اجرای مقررات و ۶ معیار پذیرش است. فایل برای ابلاغ مشترک آماده شده؛ ارسال خودکار به گفتگوهای مستقل یا اعمال تغییر در کد در این مرحله انجام نشده است.</w:t>
      </w:r>
    </w:p>
    <w:p>
      <w:pPr>
        <w:jc w:val="right"/>
        <w:bidi/>
      </w:pPr>
      <w:r>
        <w:t>R&amp;D / REXCD Assessment: ROUTINE ENGINEERING — NOT CLAIMED AS R&amp;D</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CLADORA  |  UX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s="Arial"/>
      <w:color w:val="000000"/>
      <w:sz w:val="22"/>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cs="Arial"/>
      <w:b/>
      <w:bCs/>
      <w:color w:val="000000"/>
      <w:sz w:val="28"/>
      <w:szCs w:val="28"/>
      <w:rFonts/>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cs="Arial"/>
      <w:b/>
      <w:bCs/>
      <w:color w:val="000000"/>
      <w:sz w:val="28"/>
      <w:szCs w:val="26"/>
      <w:rFont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s="Arial"/>
      <w:color w:val="000000"/>
      <w:spacing w:val="5"/>
      <w:kern w:val="28"/>
      <w:sz w:val="36"/>
      <w:szCs w:val="52"/>
      <w:rFont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