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t>معماری چرخه عمر کلادورا</w:t>
      </w:r>
    </w:p>
    <w:p>
      <w:pPr>
        <w:pStyle w:val="Subtitle"/>
        <w:jc w:val="right"/>
        <w:bidi/>
      </w:pPr>
      <w:r>
        <w:t>بسته اجرایی مشترک سه ورک</w:t>
      </w:r>
    </w:p>
    <w:p>
      <w:pPr>
        <w:jc w:val="right"/>
        <w:bidi/>
      </w:pPr>
      <w:r>
        <w:t>CLADORA Lifecycle Implementation Package v1.1</w:t>
      </w:r>
    </w:p>
    <w:p>
      <w:pPr>
        <w:jc w:val="right"/>
        <w:bidi/>
      </w:pPr>
      <w:r>
        <w:t>تاریخ ۲۰۲۶/۱۰/۰۵ | وضعیت طراحی آماده تطبیق با کد</w:t>
      </w:r>
    </w:p>
    <w:p>
      <w:pPr>
        <w:jc w:val="right"/>
        <w:bidi/>
      </w:pPr>
      <w:r>
        <w:t>این سند مأموریت CLADORA را به خدمت‌رسانی پیوسته از هویت‌گیری پروژه و پیش‌فروش تا پایان موجودیت ملک تبدیل می‌کند. هدف اجرایی، تکمیل سه ورک روی مرجع واحد داده و جلوگیری از ایجاد پرونده‌های موازی است. مدیریت اجرای پروژه ساخت خارج از دامنه است.</w:t>
      </w:r>
    </w:p>
    <w:p>
      <w:pPr>
        <w:pStyle w:val="Heading1"/>
        <w:jc w:val="right"/>
        <w:bidi/>
      </w:pPr>
      <w:r>
        <w:t>دامنه و اعتبار</w:t>
      </w:r>
    </w:p>
    <w:p>
      <w:pPr>
        <w:jc w:val="right"/>
        <w:bidi/>
      </w:pPr>
      <w:r>
        <w:t>این الحاقیه مستقل بر طرح v1.0 همین گفتگو بنا شده است. هیچ سند، migration یا قابلیت قبلی حذف یا بازنویسی نشده است. وضعیت زنده مخزن، دیتابیس و استقرار در این مرحله بررسی نشده؛ بنابراین هیچ قابلیت این سند به عنوان پیاده‌سازی‌شده اعلام نمی‌شود.</w:t>
      </w:r>
    </w:p>
    <w:p>
      <w:pPr>
        <w:jc w:val="right"/>
        <w:bidi/>
      </w:pPr>
      <w:r>
        <w:t>شناسه محلی تصمیم: CLD-LC-DEC-001. این شناسه جایگزین شماره رسمی ADR نیست؛ شماره رسمی پس از بررسی رجیستر موجود تخصیص یابد. سوابق ADR-CLD-023 و ADR-CLD-024 از متن گفتگو شناخته شده‌اند، ولی فایل‌های آن‌ها در این مرحله دوباره بررسی نشده‌اند.</w:t>
      </w:r>
    </w:p>
    <w:p>
      <w:pPr>
        <w:pStyle w:val="Heading1"/>
        <w:jc w:val="right"/>
        <w:bidi/>
      </w:pPr>
      <w:r>
        <w:t>تصمیم پایه</w:t>
      </w:r>
    </w:p>
    <w:p>
      <w:pPr>
        <w:jc w:val="right"/>
        <w:bidi/>
      </w:pPr>
      <w:r>
        <w:t>هویت ملک و دارایی، Workspace و رابطه اختیار سه مفهوم جدا هستند. هویت از مرحله برنامه‌ریزی قابل ردیابی است. Workspace محدوده همکاری و کنترل دسترسی است. رابطه، طرف‌ها، موضوع، زمان اعتبار، نوع حق، منبع اثبات و محدوده اختیار را تعیین می‌کند.</w:t>
      </w:r>
    </w:p>
    <w:p>
      <w:pPr>
        <w:jc w:val="right"/>
        <w:bidi/>
      </w:pPr>
      <w:r>
        <w:t>تغییر مالک، مستأجر، سازنده یا مدیر، سابقه مجاز ملک را قطع نمی‌کند. قرارداد اشتراک CLADORA، قرارداد ملک و قرارداد خدمت مستقل‌اند. امضا، پرداخت، انتقال حق، تحویل و فعال‌سازی دسترسی رویدادهای جدا دارند.</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trPr>
        <w:tc>
          <w:tcPr>
            <w:tcW w:type="dxa" w:w="2880"/>
            <w:shd w:fill="DCE6F1"/>
          </w:tcPr>
          <w:p>
            <w:pPr>
              <w:spacing w:after="100" w:before="100"/>
              <w:jc w:val="right"/>
              <w:bidi/>
            </w:pPr>
            <w:r>
              <w:rPr>
                <w:b/>
                <w:sz w:val="20"/>
              </w:rPr>
              <w:t>ورک</w:t>
            </w:r>
          </w:p>
        </w:tc>
        <w:tc>
          <w:tcPr>
            <w:tcW w:type="dxa" w:w="7200"/>
            <w:shd w:fill="DCE6F1"/>
          </w:tcPr>
          <w:p>
            <w:pPr>
              <w:spacing w:after="100" w:before="100"/>
              <w:jc w:val="right"/>
              <w:bidi/>
            </w:pPr>
            <w:r>
              <w:rPr>
                <w:b/>
                <w:sz w:val="20"/>
              </w:rPr>
              <w:t>مسئولیت</w:t>
            </w:r>
          </w:p>
        </w:tc>
      </w:tr>
      <w:tr>
        <w:tc>
          <w:tcPr>
            <w:tcW w:type="dxa" w:w="2880"/>
          </w:tcPr>
          <w:p>
            <w:pPr>
              <w:spacing w:after="100" w:before="100"/>
              <w:jc w:val="right"/>
              <w:bidi/>
            </w:pPr>
            <w:r>
              <w:rPr>
                <w:sz w:val="20"/>
              </w:rPr>
              <w:t>CLADORA 11</w:t>
            </w:r>
          </w:p>
        </w:tc>
        <w:tc>
          <w:tcPr>
            <w:tcW w:type="dxa" w:w="7200"/>
          </w:tcPr>
          <w:p>
            <w:pPr>
              <w:spacing w:after="100" w:before="100"/>
              <w:jc w:val="right"/>
              <w:bidi/>
            </w:pPr>
            <w:r>
              <w:rPr>
                <w:sz w:val="20"/>
              </w:rPr>
              <w:t>هسته مشترک، هماهنگی وابستگی‌ها و Operations</w:t>
            </w:r>
          </w:p>
        </w:tc>
      </w:tr>
      <w:tr>
        <w:tc>
          <w:tcPr>
            <w:tcW w:type="dxa" w:w="2880"/>
          </w:tcPr>
          <w:p>
            <w:pPr>
              <w:spacing w:after="100" w:before="100"/>
              <w:jc w:val="right"/>
              <w:bidi/>
            </w:pPr>
            <w:r>
              <w:rPr>
                <w:sz w:val="20"/>
              </w:rPr>
              <w:t>AIRPROP CLADORA</w:t>
            </w:r>
          </w:p>
        </w:tc>
        <w:tc>
          <w:tcPr>
            <w:tcW w:type="dxa" w:w="7200"/>
          </w:tcPr>
          <w:p>
            <w:pPr>
              <w:spacing w:after="100" w:before="100"/>
              <w:jc w:val="right"/>
              <w:bidi/>
            </w:pPr>
            <w:r>
              <w:rPr>
                <w:sz w:val="20"/>
              </w:rPr>
              <w:t>چرخه تجاری، پیش‌فروش، فروش، اجاره و مأموریت مدیریت</w:t>
            </w:r>
          </w:p>
        </w:tc>
      </w:tr>
      <w:tr>
        <w:tc>
          <w:tcPr>
            <w:tcW w:type="dxa" w:w="2880"/>
          </w:tcPr>
          <w:p>
            <w:pPr>
              <w:spacing w:after="100" w:before="100"/>
              <w:jc w:val="right"/>
              <w:bidi/>
            </w:pPr>
            <w:r>
              <w:rPr>
                <w:sz w:val="20"/>
              </w:rPr>
              <w:t>SERVICE CLADORA</w:t>
            </w:r>
          </w:p>
        </w:tc>
        <w:tc>
          <w:tcPr>
            <w:tcW w:type="dxa" w:w="7200"/>
          </w:tcPr>
          <w:p>
            <w:pPr>
              <w:spacing w:after="100" w:before="100"/>
              <w:jc w:val="right"/>
              <w:bidi/>
            </w:pPr>
            <w:r>
              <w:rPr>
                <w:sz w:val="20"/>
              </w:rPr>
              <w:t>عرضه و سفارش خدمت در تمام مراحل عمر ملک</w:t>
            </w:r>
          </w:p>
        </w:tc>
      </w:tr>
    </w:tbl>
    <w:p>
      <w:pPr>
        <w:pStyle w:val="Heading1"/>
        <w:jc w:val="right"/>
        <w:pageBreakBefore/>
        <w:bidi/>
      </w:pPr>
      <w:r>
        <w:t>مدل مشترک و قواعد تغییر وضعیت</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tblHeader/>
        </w:trPr>
        <w:tc>
          <w:tcPr>
            <w:tcW w:type="dxa" w:w="2592"/>
            <w:shd w:fill="DCE6F1"/>
          </w:tcPr>
          <w:p>
            <w:pPr>
              <w:spacing w:after="100" w:before="100"/>
              <w:jc w:val="right"/>
              <w:bidi/>
            </w:pPr>
            <w:r>
              <w:rPr>
                <w:b/>
                <w:sz w:val="20"/>
              </w:rPr>
              <w:t>مدل مفهومی</w:t>
            </w:r>
          </w:p>
        </w:tc>
        <w:tc>
          <w:tcPr>
            <w:tcW w:type="dxa" w:w="7488"/>
            <w:shd w:fill="DCE6F1"/>
          </w:tcPr>
          <w:p>
            <w:pPr>
              <w:spacing w:after="100" w:before="100"/>
              <w:jc w:val="right"/>
              <w:bidi/>
            </w:pPr>
            <w:r>
              <w:rPr>
                <w:b/>
                <w:sz w:val="20"/>
              </w:rPr>
              <w:t>قاعده لازم</w:t>
            </w:r>
          </w:p>
        </w:tc>
      </w:tr>
      <w:tr>
        <w:tc>
          <w:tcPr>
            <w:tcW w:type="dxa" w:w="2592"/>
          </w:tcPr>
          <w:p>
            <w:pPr>
              <w:spacing w:after="100" w:before="100"/>
              <w:jc w:val="right"/>
              <w:bidi/>
            </w:pPr>
            <w:r>
              <w:rPr>
                <w:sz w:val="20"/>
              </w:rPr>
              <w:t>ملک و منابع</w:t>
            </w:r>
          </w:p>
        </w:tc>
        <w:tc>
          <w:tcPr>
            <w:tcW w:type="dxa" w:w="7488"/>
          </w:tcPr>
          <w:p>
            <w:pPr>
              <w:spacing w:after="100" w:before="100"/>
              <w:jc w:val="right"/>
              <w:bidi/>
            </w:pPr>
            <w:r>
              <w:rPr>
                <w:sz w:val="20"/>
              </w:rPr>
              <w:t>مجموعه، ساختمان، واحد، فضا و تجهیز با شناسه پایدار و رابطه والد و فرزند.</w:t>
            </w:r>
          </w:p>
        </w:tc>
      </w:tr>
      <w:tr>
        <w:tc>
          <w:tcPr>
            <w:tcW w:type="dxa" w:w="2592"/>
          </w:tcPr>
          <w:p>
            <w:pPr>
              <w:spacing w:after="100" w:before="100"/>
              <w:jc w:val="right"/>
              <w:bidi/>
            </w:pPr>
            <w:r>
              <w:rPr>
                <w:sz w:val="20"/>
              </w:rPr>
              <w:t>هویت برنامه‌ریزی‌شده</w:t>
            </w:r>
          </w:p>
        </w:tc>
        <w:tc>
          <w:tcPr>
            <w:tcW w:type="dxa" w:w="7488"/>
          </w:tcPr>
          <w:p>
            <w:pPr>
              <w:spacing w:after="100" w:before="100"/>
              <w:jc w:val="right"/>
              <w:bidi/>
            </w:pPr>
            <w:r>
              <w:rPr>
                <w:sz w:val="20"/>
              </w:rPr>
              <w:t>مشخصات اولیه و شماره‌های موقت با نسخه و منبع؛ اصلاح مشخصات با حفظ سابقه.</w:t>
            </w:r>
          </w:p>
        </w:tc>
      </w:tr>
      <w:tr>
        <w:tc>
          <w:tcPr>
            <w:tcW w:type="dxa" w:w="2592"/>
          </w:tcPr>
          <w:p>
            <w:pPr>
              <w:spacing w:after="100" w:before="100"/>
              <w:jc w:val="right"/>
              <w:bidi/>
            </w:pPr>
            <w:r>
              <w:rPr>
                <w:sz w:val="20"/>
              </w:rPr>
              <w:t>تفکیک و ادغام</w:t>
            </w:r>
          </w:p>
        </w:tc>
        <w:tc>
          <w:tcPr>
            <w:tcW w:type="dxa" w:w="7488"/>
          </w:tcPr>
          <w:p>
            <w:pPr>
              <w:spacing w:after="100" w:before="100"/>
              <w:jc w:val="right"/>
              <w:bidi/>
            </w:pPr>
            <w:r>
              <w:rPr>
                <w:sz w:val="20"/>
              </w:rPr>
              <w:t>منابع جدید به منابع پیشین متصل شوند؛ سوابق قبلی به واحد جدید بازنویسی نشوند.</w:t>
            </w:r>
          </w:p>
        </w:tc>
      </w:tr>
      <w:tr>
        <w:tc>
          <w:tcPr>
            <w:tcW w:type="dxa" w:w="2592"/>
          </w:tcPr>
          <w:p>
            <w:pPr>
              <w:spacing w:after="100" w:before="100"/>
              <w:jc w:val="right"/>
              <w:bidi/>
            </w:pPr>
            <w:r>
              <w:rPr>
                <w:sz w:val="20"/>
              </w:rPr>
              <w:t>روابط اشخاص</w:t>
            </w:r>
          </w:p>
        </w:tc>
        <w:tc>
          <w:tcPr>
            <w:tcW w:type="dxa" w:w="7488"/>
          </w:tcPr>
          <w:p>
            <w:pPr>
              <w:spacing w:after="100" w:before="100"/>
              <w:jc w:val="right"/>
              <w:bidi/>
            </w:pPr>
            <w:r>
              <w:rPr>
                <w:sz w:val="20"/>
              </w:rPr>
              <w:t>مالک، خریدار قراردادی، مستأجر، نماینده و مدیر با زمان اعتبار و مستند مستقل.</w:t>
            </w:r>
          </w:p>
        </w:tc>
      </w:tr>
      <w:tr>
        <w:tc>
          <w:tcPr>
            <w:tcW w:type="dxa" w:w="2592"/>
          </w:tcPr>
          <w:p>
            <w:pPr>
              <w:spacing w:after="100" w:before="100"/>
              <w:jc w:val="right"/>
              <w:bidi/>
            </w:pPr>
            <w:r>
              <w:rPr>
                <w:sz w:val="20"/>
              </w:rPr>
              <w:t>مرجع ملک</w:t>
            </w:r>
          </w:p>
        </w:tc>
        <w:tc>
          <w:tcPr>
            <w:tcW w:type="dxa" w:w="7488"/>
          </w:tcPr>
          <w:p>
            <w:pPr>
              <w:spacing w:after="100" w:before="100"/>
              <w:jc w:val="right"/>
              <w:bidi/>
            </w:pPr>
            <w:r>
              <w:rPr>
                <w:sz w:val="20"/>
              </w:rPr>
              <w:t>مرجع پاسخ‌گوی مشخص؛ ارتباط میان Workspaceها فقط با مجوز صریح و قابل لغو.</w:t>
            </w:r>
          </w:p>
        </w:tc>
      </w:tr>
      <w:tr>
        <w:tc>
          <w:tcPr>
            <w:tcW w:type="dxa" w:w="2592"/>
          </w:tcPr>
          <w:p>
            <w:pPr>
              <w:spacing w:after="100" w:before="100"/>
              <w:jc w:val="right"/>
              <w:bidi/>
            </w:pPr>
            <w:r>
              <w:rPr>
                <w:sz w:val="20"/>
              </w:rPr>
              <w:t>اسناد و انتقال</w:t>
            </w:r>
          </w:p>
        </w:tc>
        <w:tc>
          <w:tcPr>
            <w:tcW w:type="dxa" w:w="7488"/>
          </w:tcPr>
          <w:p>
            <w:pPr>
              <w:spacing w:after="100" w:before="100"/>
              <w:jc w:val="right"/>
              <w:bidi/>
            </w:pPr>
            <w:r>
              <w:rPr>
                <w:sz w:val="20"/>
              </w:rPr>
              <w:t>نسخه، مالک داده، طبقه‌بندی و قابلیت انتقال؛ مدارک خصوصی در بسته تحویل قرار نگیرند.</w:t>
            </w:r>
          </w:p>
        </w:tc>
      </w:tr>
      <w:tr>
        <w:tc>
          <w:tcPr>
            <w:tcW w:type="dxa" w:w="2592"/>
          </w:tcPr>
          <w:p>
            <w:pPr>
              <w:spacing w:after="100" w:before="100"/>
              <w:jc w:val="right"/>
              <w:bidi/>
            </w:pPr>
            <w:r>
              <w:rPr>
                <w:sz w:val="20"/>
              </w:rPr>
              <w:t>رویداد چرخه عمر</w:t>
            </w:r>
          </w:p>
        </w:tc>
        <w:tc>
          <w:tcPr>
            <w:tcW w:type="dxa" w:w="7488"/>
          </w:tcPr>
          <w:p>
            <w:pPr>
              <w:spacing w:after="100" w:before="100"/>
              <w:jc w:val="right"/>
              <w:bidi/>
            </w:pPr>
            <w:r>
              <w:rPr>
                <w:sz w:val="20"/>
              </w:rPr>
              <w:t>موضوع، عامل، زمینه مجاز، زمان وقوع و ثبت، نسخه، منبع و کلید جلوگیری از تکرار.</w:t>
            </w:r>
          </w:p>
        </w:tc>
      </w:tr>
    </w:tbl>
    <w:p>
      <w:pPr>
        <w:jc w:val="right"/>
        <w:bidi/>
      </w:pPr>
      <w:r>
        <w:t>این‌ها نام جدول پیشنهادی نیستند. ابتدا مدل‌های موجود پیدا و به این مفاهیم نگاشت شوند؛ سپس فقط شکاف واقعی توسعه یابد.</w:t>
      </w:r>
    </w:p>
    <w:p>
      <w:pPr>
        <w:pStyle w:val="Heading1"/>
        <w:jc w:val="right"/>
        <w:bidi/>
      </w:pPr>
      <w:r>
        <w:t>محورهای مستقل</w:t>
      </w:r>
    </w:p>
    <w:p>
      <w:pPr>
        <w:jc w:val="right"/>
        <w:bidi/>
      </w:pPr>
      <w:r>
        <w:t>وضعیت فیزیکی، تجاری، تصرف، مأموریت مدیریت و اشتراک مستقل ثبت شوند. وضعیت هر واحد می‌تواند با ساختمان متفاوت باشد؛ فروش یا اجاره نباید وضعیت فیزیکی را بازنویسی کند.</w:t>
      </w:r>
    </w:p>
    <w:p>
      <w:pPr>
        <w:pStyle w:val="Heading1"/>
        <w:jc w:val="right"/>
        <w:bidi/>
      </w:pPr>
      <w:r>
        <w:t>قواعد انتقال</w:t>
      </w:r>
    </w:p>
    <w:p>
      <w:pPr>
        <w:jc w:val="right"/>
        <w:bidi/>
      </w:pPr>
      <w:r>
        <w:t>رزرو فقط برای منبع و دوره قابل رزرو و تحت اختیار معتبر پذیرفته شود. درخواست هم‌زمان برای همان حق انحصاری باید تعارض روشن بگیرد. انقضا یا لغو رزرو، تعهد قراردادی معتبر را خودکار حذف نمی‌کند.</w:t>
      </w:r>
    </w:p>
    <w:p>
      <w:pPr>
        <w:jc w:val="right"/>
        <w:bidi/>
      </w:pPr>
      <w:r>
        <w:t>تأیید پیش‌فروش، نقش خریدار قراردادی می‌دهد؛ مالکیت قطعی از آن استنتاج نمی‌شود. انتقال رابطه پس از بررسی شواهد و قواعد تعریف‌شده انجام می‌شود. تحویل جزئی، رد تحویل و وجود نقص مانع ثبت دقیق رویداد نیستند.</w:t>
      </w:r>
    </w:p>
    <w:p>
      <w:pPr>
        <w:jc w:val="right"/>
        <w:bidi/>
      </w:pPr>
      <w:r>
        <w:t>انقضای اجاره، خاتمه مأموریت و تسویه مستقل‌اند. تاریخ مؤثر تغییر دسترسی ثبت می‌شود؛ اصلاح یا ابطال انتقال با رویداد جبرانی و Audit انجام شود، نه حذف تاریخچه.</w:t>
      </w:r>
    </w:p>
    <w:p>
      <w:pPr>
        <w:pStyle w:val="Heading1"/>
        <w:jc w:val="right"/>
        <w:pageBreakBefore/>
        <w:bidi/>
      </w:pPr>
      <w:r>
        <w:t>ماتریس تغییرات و وابستگی</w:t>
      </w:r>
    </w:p>
    <w:p>
      <w:pPr>
        <w:jc w:val="right"/>
        <w:bidi/>
      </w:pPr>
      <w:r>
        <w:t>شناسه‌های زیر فقط شناسه بسته حاضر هستند. وضعیت پیاده‌سازی همه ردیف‌ها بررسی‌نشده است.</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944"/>
        <w:gridCol w:w="6912"/>
      </w:tblGrid>
      <w:tr>
        <w:trPr>
          <w:tblHeader/>
        </w:trPr>
        <w:tc>
          <w:tcPr>
            <w:tcW w:type="dxa" w:w="1224"/>
            <w:shd w:fill="DCE6F1"/>
          </w:tcPr>
          <w:p>
            <w:pPr>
              <w:spacing w:after="100" w:before="100"/>
              <w:jc w:val="right"/>
              <w:bidi/>
            </w:pPr>
            <w:r>
              <w:rPr>
                <w:b/>
                <w:sz w:val="20"/>
              </w:rPr>
              <w:t>شناسه</w:t>
            </w:r>
          </w:p>
        </w:tc>
        <w:tc>
          <w:tcPr>
            <w:tcW w:type="dxa" w:w="1944"/>
            <w:shd w:fill="DCE6F1"/>
          </w:tcPr>
          <w:p>
            <w:pPr>
              <w:spacing w:after="100" w:before="100"/>
              <w:jc w:val="right"/>
              <w:bidi/>
            </w:pPr>
            <w:r>
              <w:rPr>
                <w:b/>
                <w:sz w:val="20"/>
              </w:rPr>
              <w:t>مسئول</w:t>
            </w:r>
          </w:p>
        </w:tc>
        <w:tc>
          <w:tcPr>
            <w:tcW w:type="dxa" w:w="6912"/>
            <w:shd w:fill="DCE6F1"/>
          </w:tcPr>
          <w:p>
            <w:pPr>
              <w:spacing w:after="100" w:before="100"/>
              <w:jc w:val="right"/>
              <w:bidi/>
            </w:pPr>
            <w:r>
              <w:rPr>
                <w:b/>
                <w:sz w:val="20"/>
              </w:rPr>
              <w:t>خروجی و وابستگی</w:t>
            </w:r>
          </w:p>
        </w:tc>
      </w:tr>
      <w:tr>
        <w:tc>
          <w:tcPr>
            <w:tcW w:type="dxa" w:w="1224"/>
          </w:tcPr>
          <w:p>
            <w:pPr>
              <w:spacing w:after="100" w:before="100"/>
              <w:jc w:val="right"/>
              <w:bidi/>
            </w:pPr>
            <w:r>
              <w:rPr>
                <w:sz w:val="20"/>
              </w:rPr>
              <w:t>LC-C01</w:t>
            </w:r>
          </w:p>
        </w:tc>
        <w:tc>
          <w:tcPr>
            <w:tcW w:type="dxa" w:w="1944"/>
          </w:tcPr>
          <w:p>
            <w:pPr>
              <w:spacing w:after="100" w:before="100"/>
              <w:jc w:val="right"/>
              <w:bidi/>
            </w:pPr>
            <w:r>
              <w:rPr>
                <w:sz w:val="20"/>
              </w:rPr>
              <w:t>CLADORA 11</w:t>
            </w:r>
          </w:p>
        </w:tc>
        <w:tc>
          <w:tcPr>
            <w:tcW w:type="dxa" w:w="6912"/>
          </w:tcPr>
          <w:p>
            <w:pPr>
              <w:spacing w:after="100" w:before="100"/>
              <w:jc w:val="right"/>
              <w:bidi/>
            </w:pPr>
            <w:r>
              <w:rPr>
                <w:sz w:val="20"/>
              </w:rPr>
              <w:t>نگاشت موجودیت‌ها و مرجع داده؛ شروع کار مشترک.</w:t>
            </w:r>
          </w:p>
        </w:tc>
      </w:tr>
      <w:tr>
        <w:tc>
          <w:tcPr>
            <w:tcW w:type="dxa" w:w="1224"/>
          </w:tcPr>
          <w:p>
            <w:pPr>
              <w:spacing w:after="100" w:before="100"/>
              <w:jc w:val="right"/>
              <w:bidi/>
            </w:pPr>
            <w:r>
              <w:rPr>
                <w:sz w:val="20"/>
              </w:rPr>
              <w:t>LC-C02</w:t>
            </w:r>
          </w:p>
        </w:tc>
        <w:tc>
          <w:tcPr>
            <w:tcW w:type="dxa" w:w="1944"/>
          </w:tcPr>
          <w:p>
            <w:pPr>
              <w:spacing w:after="100" w:before="100"/>
              <w:jc w:val="right"/>
              <w:bidi/>
            </w:pPr>
            <w:r>
              <w:rPr>
                <w:sz w:val="20"/>
              </w:rPr>
              <w:t>CLADORA 11</w:t>
            </w:r>
          </w:p>
        </w:tc>
        <w:tc>
          <w:tcPr>
            <w:tcW w:type="dxa" w:w="6912"/>
          </w:tcPr>
          <w:p>
            <w:pPr>
              <w:spacing w:after="100" w:before="100"/>
              <w:jc w:val="right"/>
              <w:bidi/>
            </w:pPr>
            <w:r>
              <w:rPr>
                <w:sz w:val="20"/>
              </w:rPr>
              <w:t>هویت برنامه‌ریزی‌شده، نسخه مشخصات، تفکیک و ادغام؛ پس از C01.</w:t>
            </w:r>
          </w:p>
        </w:tc>
      </w:tr>
      <w:tr>
        <w:tc>
          <w:tcPr>
            <w:tcW w:type="dxa" w:w="1224"/>
          </w:tcPr>
          <w:p>
            <w:pPr>
              <w:spacing w:after="100" w:before="100"/>
              <w:jc w:val="right"/>
              <w:bidi/>
            </w:pPr>
            <w:r>
              <w:rPr>
                <w:sz w:val="20"/>
              </w:rPr>
              <w:t>LC-C03</w:t>
            </w:r>
          </w:p>
        </w:tc>
        <w:tc>
          <w:tcPr>
            <w:tcW w:type="dxa" w:w="1944"/>
          </w:tcPr>
          <w:p>
            <w:pPr>
              <w:spacing w:after="100" w:before="100"/>
              <w:jc w:val="right"/>
              <w:bidi/>
            </w:pPr>
            <w:r>
              <w:rPr>
                <w:sz w:val="20"/>
              </w:rPr>
              <w:t>CLADORA 11</w:t>
            </w:r>
          </w:p>
        </w:tc>
        <w:tc>
          <w:tcPr>
            <w:tcW w:type="dxa" w:w="6912"/>
          </w:tcPr>
          <w:p>
            <w:pPr>
              <w:spacing w:after="100" w:before="100"/>
              <w:jc w:val="right"/>
              <w:bidi/>
            </w:pPr>
            <w:r>
              <w:rPr>
                <w:sz w:val="20"/>
              </w:rPr>
              <w:t>روابط زمان‌دار، اختیار و انتقال دسترسی؛ پس از C01.</w:t>
            </w:r>
          </w:p>
        </w:tc>
      </w:tr>
      <w:tr>
        <w:tc>
          <w:tcPr>
            <w:tcW w:type="dxa" w:w="1224"/>
          </w:tcPr>
          <w:p>
            <w:pPr>
              <w:spacing w:after="100" w:before="100"/>
              <w:jc w:val="right"/>
              <w:bidi/>
            </w:pPr>
            <w:r>
              <w:rPr>
                <w:sz w:val="20"/>
              </w:rPr>
              <w:t>LC-C04</w:t>
            </w:r>
          </w:p>
        </w:tc>
        <w:tc>
          <w:tcPr>
            <w:tcW w:type="dxa" w:w="1944"/>
          </w:tcPr>
          <w:p>
            <w:pPr>
              <w:spacing w:after="100" w:before="100"/>
              <w:jc w:val="right"/>
              <w:bidi/>
            </w:pPr>
            <w:r>
              <w:rPr>
                <w:sz w:val="20"/>
              </w:rPr>
              <w:t>CLADORA 11</w:t>
            </w:r>
          </w:p>
        </w:tc>
        <w:tc>
          <w:tcPr>
            <w:tcW w:type="dxa" w:w="6912"/>
          </w:tcPr>
          <w:p>
            <w:pPr>
              <w:spacing w:after="100" w:before="100"/>
              <w:jc w:val="right"/>
              <w:bidi/>
            </w:pPr>
            <w:r>
              <w:rPr>
                <w:sz w:val="20"/>
              </w:rPr>
              <w:t>قرارداد رویداد، جلوگیری از تکرار و بازیابی خطا؛ پس از C01.</w:t>
            </w:r>
          </w:p>
        </w:tc>
      </w:tr>
      <w:tr>
        <w:tc>
          <w:tcPr>
            <w:tcW w:type="dxa" w:w="1224"/>
          </w:tcPr>
          <w:p>
            <w:pPr>
              <w:spacing w:after="100" w:before="100"/>
              <w:jc w:val="right"/>
              <w:bidi/>
            </w:pPr>
            <w:r>
              <w:rPr>
                <w:sz w:val="20"/>
              </w:rPr>
              <w:t>LC-C05</w:t>
            </w:r>
          </w:p>
        </w:tc>
        <w:tc>
          <w:tcPr>
            <w:tcW w:type="dxa" w:w="1944"/>
          </w:tcPr>
          <w:p>
            <w:pPr>
              <w:spacing w:after="100" w:before="100"/>
              <w:jc w:val="right"/>
              <w:bidi/>
            </w:pPr>
            <w:r>
              <w:rPr>
                <w:sz w:val="20"/>
              </w:rPr>
              <w:t>CLADORA 11</w:t>
            </w:r>
          </w:p>
        </w:tc>
        <w:tc>
          <w:tcPr>
            <w:tcW w:type="dxa" w:w="6912"/>
          </w:tcPr>
          <w:p>
            <w:pPr>
              <w:spacing w:after="100" w:before="100"/>
              <w:jc w:val="right"/>
              <w:bidi/>
            </w:pPr>
            <w:r>
              <w:rPr>
                <w:sz w:val="20"/>
              </w:rPr>
              <w:t>پرونده تحویل و طبقه‌بندی اسناد قابل انتقال؛ پس از C02 و C03.</w:t>
            </w:r>
          </w:p>
        </w:tc>
      </w:tr>
      <w:tr>
        <w:tc>
          <w:tcPr>
            <w:tcW w:type="dxa" w:w="1224"/>
          </w:tcPr>
          <w:p>
            <w:pPr>
              <w:spacing w:after="100" w:before="100"/>
              <w:jc w:val="right"/>
              <w:bidi/>
            </w:pPr>
            <w:r>
              <w:rPr>
                <w:sz w:val="20"/>
              </w:rPr>
              <w:t>LC-A01</w:t>
            </w:r>
          </w:p>
        </w:tc>
        <w:tc>
          <w:tcPr>
            <w:tcW w:type="dxa" w:w="1944"/>
          </w:tcPr>
          <w:p>
            <w:pPr>
              <w:spacing w:after="100" w:before="100"/>
              <w:jc w:val="right"/>
              <w:bidi/>
            </w:pPr>
            <w:r>
              <w:rPr>
                <w:sz w:val="20"/>
              </w:rPr>
              <w:t>AIRPROP</w:t>
            </w:r>
          </w:p>
        </w:tc>
        <w:tc>
          <w:tcPr>
            <w:tcW w:type="dxa" w:w="6912"/>
          </w:tcPr>
          <w:p>
            <w:pPr>
              <w:spacing w:after="100" w:before="100"/>
              <w:jc w:val="right"/>
              <w:bidi/>
            </w:pPr>
            <w:r>
              <w:rPr>
                <w:sz w:val="20"/>
              </w:rPr>
              <w:t>عرضه پروژه و واحد، متقاضی و رزرو هم‌زمان امن؛ پس از C02 و C03.</w:t>
            </w:r>
          </w:p>
        </w:tc>
      </w:tr>
      <w:tr>
        <w:tc>
          <w:tcPr>
            <w:tcW w:type="dxa" w:w="1224"/>
          </w:tcPr>
          <w:p>
            <w:pPr>
              <w:spacing w:after="100" w:before="100"/>
              <w:jc w:val="right"/>
              <w:bidi/>
            </w:pPr>
            <w:r>
              <w:rPr>
                <w:sz w:val="20"/>
              </w:rPr>
              <w:t>LC-A02</w:t>
            </w:r>
          </w:p>
        </w:tc>
        <w:tc>
          <w:tcPr>
            <w:tcW w:type="dxa" w:w="1944"/>
          </w:tcPr>
          <w:p>
            <w:pPr>
              <w:spacing w:after="100" w:before="100"/>
              <w:jc w:val="right"/>
              <w:bidi/>
            </w:pPr>
            <w:r>
              <w:rPr>
                <w:sz w:val="20"/>
              </w:rPr>
              <w:t>AIRPROP</w:t>
            </w:r>
          </w:p>
        </w:tc>
        <w:tc>
          <w:tcPr>
            <w:tcW w:type="dxa" w:w="6912"/>
          </w:tcPr>
          <w:p>
            <w:pPr>
              <w:spacing w:after="100" w:before="100"/>
              <w:jc w:val="right"/>
              <w:bidi/>
            </w:pPr>
            <w:r>
              <w:rPr>
                <w:sz w:val="20"/>
              </w:rPr>
              <w:t>پیش‌فروش، قرارداد و برنامه تعهدات با مرجع مالی مشترک؛ پس از A01.</w:t>
            </w:r>
          </w:p>
        </w:tc>
      </w:tr>
      <w:tr>
        <w:tc>
          <w:tcPr>
            <w:tcW w:type="dxa" w:w="1224"/>
          </w:tcPr>
          <w:p>
            <w:pPr>
              <w:spacing w:after="100" w:before="100"/>
              <w:jc w:val="right"/>
              <w:bidi/>
            </w:pPr>
            <w:r>
              <w:rPr>
                <w:sz w:val="20"/>
              </w:rPr>
              <w:t>LC-A03</w:t>
            </w:r>
          </w:p>
        </w:tc>
        <w:tc>
          <w:tcPr>
            <w:tcW w:type="dxa" w:w="1944"/>
          </w:tcPr>
          <w:p>
            <w:pPr>
              <w:spacing w:after="100" w:before="100"/>
              <w:jc w:val="right"/>
              <w:bidi/>
            </w:pPr>
            <w:r>
              <w:rPr>
                <w:sz w:val="20"/>
              </w:rPr>
              <w:t>AIRPROP</w:t>
            </w:r>
          </w:p>
        </w:tc>
        <w:tc>
          <w:tcPr>
            <w:tcW w:type="dxa" w:w="6912"/>
          </w:tcPr>
          <w:p>
            <w:pPr>
              <w:spacing w:after="100" w:before="100"/>
              <w:jc w:val="right"/>
              <w:bidi/>
            </w:pPr>
            <w:r>
              <w:rPr>
                <w:sz w:val="20"/>
              </w:rPr>
              <w:t>فروش مجدد، اجاره و مدیریت؛ اتصال به تحویل و روابط؛ پس از C05 و A02.</w:t>
            </w:r>
          </w:p>
        </w:tc>
      </w:tr>
      <w:tr>
        <w:tc>
          <w:tcPr>
            <w:tcW w:type="dxa" w:w="1224"/>
          </w:tcPr>
          <w:p>
            <w:pPr>
              <w:spacing w:after="100" w:before="100"/>
              <w:jc w:val="right"/>
              <w:bidi/>
            </w:pPr>
            <w:r>
              <w:rPr>
                <w:sz w:val="20"/>
              </w:rPr>
              <w:t>LC-S01</w:t>
            </w:r>
          </w:p>
        </w:tc>
        <w:tc>
          <w:tcPr>
            <w:tcW w:type="dxa" w:w="1944"/>
          </w:tcPr>
          <w:p>
            <w:pPr>
              <w:spacing w:after="100" w:before="100"/>
              <w:jc w:val="right"/>
              <w:bidi/>
            </w:pPr>
            <w:r>
              <w:rPr>
                <w:sz w:val="20"/>
              </w:rPr>
              <w:t>SERVICE</w:t>
            </w:r>
          </w:p>
        </w:tc>
        <w:tc>
          <w:tcPr>
            <w:tcW w:type="dxa" w:w="6912"/>
          </w:tcPr>
          <w:p>
            <w:pPr>
              <w:spacing w:after="100" w:before="100"/>
              <w:jc w:val="right"/>
              <w:bidi/>
            </w:pPr>
            <w:r>
              <w:rPr>
                <w:sz w:val="20"/>
              </w:rPr>
              <w:t>قواعد قابلیت عرضه خدمت بر اساس موضوع و مرحله؛ پس از C01.</w:t>
            </w:r>
          </w:p>
        </w:tc>
      </w:tr>
      <w:tr>
        <w:tc>
          <w:tcPr>
            <w:tcW w:type="dxa" w:w="1224"/>
          </w:tcPr>
          <w:p>
            <w:pPr>
              <w:spacing w:after="100" w:before="100"/>
              <w:jc w:val="right"/>
              <w:bidi/>
            </w:pPr>
            <w:r>
              <w:rPr>
                <w:sz w:val="20"/>
              </w:rPr>
              <w:t>LC-S02</w:t>
            </w:r>
          </w:p>
        </w:tc>
        <w:tc>
          <w:tcPr>
            <w:tcW w:type="dxa" w:w="1944"/>
          </w:tcPr>
          <w:p>
            <w:pPr>
              <w:spacing w:after="100" w:before="100"/>
              <w:jc w:val="right"/>
              <w:bidi/>
            </w:pPr>
            <w:r>
              <w:rPr>
                <w:sz w:val="20"/>
              </w:rPr>
              <w:t>SERVICE</w:t>
            </w:r>
          </w:p>
        </w:tc>
        <w:tc>
          <w:tcPr>
            <w:tcW w:type="dxa" w:w="6912"/>
          </w:tcPr>
          <w:p>
            <w:pPr>
              <w:spacing w:after="100" w:before="100"/>
              <w:jc w:val="right"/>
              <w:bidi/>
            </w:pPr>
            <w:r>
              <w:rPr>
                <w:sz w:val="20"/>
              </w:rPr>
              <w:t>سفارش بازرسی، رفع نقص و خدمات تحویل؛ پس از C05 و S01.</w:t>
            </w:r>
          </w:p>
        </w:tc>
      </w:tr>
      <w:tr>
        <w:tc>
          <w:tcPr>
            <w:tcW w:type="dxa" w:w="1224"/>
          </w:tcPr>
          <w:p>
            <w:pPr>
              <w:spacing w:after="100" w:before="100"/>
              <w:jc w:val="right"/>
              <w:bidi/>
            </w:pPr>
            <w:r>
              <w:rPr>
                <w:sz w:val="20"/>
              </w:rPr>
              <w:t>LC-O01</w:t>
            </w:r>
          </w:p>
        </w:tc>
        <w:tc>
          <w:tcPr>
            <w:tcW w:type="dxa" w:w="1944"/>
          </w:tcPr>
          <w:p>
            <w:pPr>
              <w:spacing w:after="100" w:before="100"/>
              <w:jc w:val="right"/>
              <w:bidi/>
            </w:pPr>
            <w:r>
              <w:rPr>
                <w:sz w:val="20"/>
              </w:rPr>
              <w:t>CLADORA 11</w:t>
            </w:r>
          </w:p>
        </w:tc>
        <w:tc>
          <w:tcPr>
            <w:tcW w:type="dxa" w:w="6912"/>
          </w:tcPr>
          <w:p>
            <w:pPr>
              <w:spacing w:after="100" w:before="100"/>
              <w:jc w:val="right"/>
              <w:bidi/>
            </w:pPr>
            <w:r>
              <w:rPr>
                <w:sz w:val="20"/>
              </w:rPr>
              <w:t>تجهیز، ضمانت، نقص و دستورکار مرتبط با خدمت؛ پس از C02 و C05.</w:t>
            </w:r>
          </w:p>
        </w:tc>
      </w:tr>
      <w:tr>
        <w:tc>
          <w:tcPr>
            <w:tcW w:type="dxa" w:w="1224"/>
          </w:tcPr>
          <w:p>
            <w:pPr>
              <w:spacing w:after="100" w:before="100"/>
              <w:jc w:val="right"/>
              <w:bidi/>
            </w:pPr>
            <w:r>
              <w:rPr>
                <w:sz w:val="20"/>
              </w:rPr>
              <w:t>LC-X01</w:t>
            </w:r>
          </w:p>
        </w:tc>
        <w:tc>
          <w:tcPr>
            <w:tcW w:type="dxa" w:w="1944"/>
          </w:tcPr>
          <w:p>
            <w:pPr>
              <w:spacing w:after="100" w:before="100"/>
              <w:jc w:val="right"/>
              <w:bidi/>
            </w:pPr>
            <w:r>
              <w:rPr>
                <w:sz w:val="20"/>
              </w:rPr>
              <w:t>هر سه ورک</w:t>
            </w:r>
          </w:p>
        </w:tc>
        <w:tc>
          <w:tcPr>
            <w:tcW w:type="dxa" w:w="6912"/>
          </w:tcPr>
          <w:p>
            <w:pPr>
              <w:spacing w:after="100" w:before="100"/>
              <w:jc w:val="right"/>
              <w:bidi/>
            </w:pPr>
            <w:r>
              <w:rPr>
                <w:sz w:val="20"/>
              </w:rPr>
              <w:t>آزمون پیوسته چرخه عمر و جداسازی دسترسی؛ پس از اتصال بسته‌ها.</w:t>
            </w:r>
          </w:p>
        </w:tc>
      </w:tr>
    </w:tbl>
    <w:p>
      <w:pPr>
        <w:pStyle w:val="Heading1"/>
        <w:jc w:val="right"/>
        <w:bidi/>
      </w:pPr>
      <w:r>
        <w:t>مسیر هوش مصنوعی</w:t>
      </w:r>
    </w:p>
    <w:p>
      <w:pPr>
        <w:jc w:val="right"/>
        <w:bidi/>
      </w:pPr>
      <w:r>
        <w:t>پس از آماده‌شدن جریان‌های اصلی، AIRPROP تطبیق ملک و نیاز متقاضی را با دلایل قابل مشاهده اضافه کند. پاسخ درباره ملک فقط بر داده مجاز و دارای منبع تکیه کند. قیمت‌گذاری به داده معتبر بازار، تاریخ داده و ارزیابی کیفیت وابسته است؛ بدون این داده، برآورد معتبر ادعا نشود.</w:t>
      </w:r>
    </w:p>
    <w:p>
      <w:pPr>
        <w:jc w:val="right"/>
        <w:bidi/>
      </w:pPr>
      <w:r>
        <w:t>زیرساخت دستیار، ثبت نتیجه، مجوز، سهمیه و منبع مشترک باشد. انتشار آگهی، ارسال پیام، تغییر حق و تعهد قراردادی از مسیر اختیار مشخص عبور کنند. نتایج آزمون کیفیت AI جدا از آزمون کارکرد معمول گزارش شوند.</w:t>
      </w:r>
    </w:p>
    <w:p>
      <w:pPr>
        <w:pStyle w:val="Heading1"/>
        <w:jc w:val="right"/>
        <w:pageBreakBefore/>
        <w:bidi/>
      </w:pPr>
      <w:r>
        <w:t>قرارداد اتصال و ماتریس تطبیق</w:t>
      </w:r>
    </w:p>
    <w:p>
      <w:pPr>
        <w:jc w:val="right"/>
        <w:bidi/>
      </w:pPr>
      <w:r>
        <w:t>هر فرمان مشترک باید زمینه Workspace، عامل، موضوع، نسخه مورد انتظار، شناسه درخواست و کلید جلوگیری از تکرار داشته باشد. مجوز عامل در سمت سرور کنترل شود؛ مقدار ارسالی کاربر مدرک اختیار نیست.</w:t>
      </w:r>
    </w:p>
    <w:p>
      <w:pPr>
        <w:jc w:val="right"/>
        <w:bidi/>
      </w:pPr>
      <w:r>
        <w:t>رویداد قابل مصرف پس از ثبت موفق تغییر منتشر شود. مصرف‌کننده برای هر رویداد نتیجه پردازش را نگه دارد. تکرار، تأخیر و شکست دریافت نباید به ایجاد دوباره پرداخت، سفارش یا رابطه منجر شود. روش فنی دقیق پس از بررسی زیرساخت موجود انتخاب شود.</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376"/>
        <w:gridCol w:w="5184"/>
        <w:gridCol w:w="1080"/>
      </w:tblGrid>
      <w:tr>
        <w:trPr>
          <w:tblHeader/>
        </w:trPr>
        <w:tc>
          <w:tcPr>
            <w:tcW w:type="dxa" w:w="1440"/>
            <w:shd w:fill="DCE6F1"/>
          </w:tcPr>
          <w:p>
            <w:pPr>
              <w:spacing w:after="100" w:before="100"/>
              <w:jc w:val="right"/>
              <w:bidi/>
            </w:pPr>
            <w:r>
              <w:rPr>
                <w:b/>
                <w:sz w:val="20"/>
              </w:rPr>
              <w:t>نیاز</w:t>
            </w:r>
          </w:p>
        </w:tc>
        <w:tc>
          <w:tcPr>
            <w:tcW w:type="dxa" w:w="2376"/>
            <w:shd w:fill="DCE6F1"/>
          </w:tcPr>
          <w:p>
            <w:pPr>
              <w:spacing w:after="100" w:before="100"/>
              <w:jc w:val="right"/>
              <w:bidi/>
            </w:pPr>
            <w:r>
              <w:rPr>
                <w:b/>
                <w:sz w:val="20"/>
              </w:rPr>
              <w:t>صفحه و جریان</w:t>
            </w:r>
          </w:p>
        </w:tc>
        <w:tc>
          <w:tcPr>
            <w:tcW w:type="dxa" w:w="5184"/>
            <w:shd w:fill="DCE6F1"/>
          </w:tcPr>
          <w:p>
            <w:pPr>
              <w:spacing w:after="100" w:before="100"/>
              <w:jc w:val="right"/>
              <w:bidi/>
            </w:pPr>
            <w:r>
              <w:rPr>
                <w:b/>
                <w:sz w:val="20"/>
              </w:rPr>
              <w:t>مرجع داده و عملیات</w:t>
            </w:r>
          </w:p>
        </w:tc>
        <w:tc>
          <w:tcPr>
            <w:tcW w:type="dxa" w:w="1080"/>
            <w:shd w:fill="DCE6F1"/>
          </w:tcPr>
          <w:p>
            <w:pPr>
              <w:spacing w:after="100" w:before="100"/>
              <w:jc w:val="right"/>
              <w:bidi/>
            </w:pPr>
            <w:r>
              <w:rPr>
                <w:b/>
                <w:sz w:val="20"/>
              </w:rPr>
              <w:t>آزمون</w:t>
            </w:r>
          </w:p>
        </w:tc>
      </w:tr>
      <w:tr>
        <w:tc>
          <w:tcPr>
            <w:tcW w:type="dxa" w:w="1440"/>
          </w:tcPr>
          <w:p>
            <w:pPr>
              <w:spacing w:after="100" w:before="100"/>
              <w:jc w:val="right"/>
              <w:bidi/>
            </w:pPr>
            <w:r>
              <w:rPr>
                <w:sz w:val="20"/>
              </w:rPr>
              <w:t>هویت اولیه</w:t>
            </w:r>
          </w:p>
        </w:tc>
        <w:tc>
          <w:tcPr>
            <w:tcW w:type="dxa" w:w="2376"/>
          </w:tcPr>
          <w:p>
            <w:pPr>
              <w:spacing w:after="100" w:before="100"/>
              <w:jc w:val="right"/>
              <w:bidi/>
            </w:pPr>
            <w:r>
              <w:rPr>
                <w:sz w:val="20"/>
              </w:rPr>
              <w:t>شناسنامه پروژه و واحد</w:t>
            </w:r>
          </w:p>
        </w:tc>
        <w:tc>
          <w:tcPr>
            <w:tcW w:type="dxa" w:w="5184"/>
          </w:tcPr>
          <w:p>
            <w:pPr>
              <w:spacing w:after="100" w:before="100"/>
              <w:jc w:val="right"/>
              <w:bidi/>
            </w:pPr>
            <w:r>
              <w:rPr>
                <w:sz w:val="20"/>
              </w:rPr>
              <w:t>ایجاد و نسخه مشخصات منبع</w:t>
            </w:r>
          </w:p>
        </w:tc>
        <w:tc>
          <w:tcPr>
            <w:tcW w:type="dxa" w:w="1080"/>
          </w:tcPr>
          <w:p>
            <w:pPr>
              <w:spacing w:after="100" w:before="100"/>
              <w:jc w:val="right"/>
              <w:bidi/>
            </w:pPr>
            <w:r>
              <w:rPr>
                <w:sz w:val="20"/>
              </w:rPr>
              <w:t>T01</w:t>
            </w:r>
          </w:p>
        </w:tc>
      </w:tr>
      <w:tr>
        <w:tc>
          <w:tcPr>
            <w:tcW w:type="dxa" w:w="1440"/>
          </w:tcPr>
          <w:p>
            <w:pPr>
              <w:spacing w:after="100" w:before="100"/>
              <w:jc w:val="right"/>
              <w:bidi/>
            </w:pPr>
            <w:r>
              <w:rPr>
                <w:sz w:val="20"/>
              </w:rPr>
              <w:t>عرضه و رزرو</w:t>
            </w:r>
          </w:p>
        </w:tc>
        <w:tc>
          <w:tcPr>
            <w:tcW w:type="dxa" w:w="2376"/>
          </w:tcPr>
          <w:p>
            <w:pPr>
              <w:spacing w:after="100" w:before="100"/>
              <w:jc w:val="right"/>
              <w:bidi/>
            </w:pPr>
            <w:r>
              <w:rPr>
                <w:sz w:val="20"/>
              </w:rPr>
              <w:t>موجودی و متقاضی</w:t>
            </w:r>
          </w:p>
        </w:tc>
        <w:tc>
          <w:tcPr>
            <w:tcW w:type="dxa" w:w="5184"/>
          </w:tcPr>
          <w:p>
            <w:pPr>
              <w:spacing w:after="100" w:before="100"/>
              <w:jc w:val="right"/>
              <w:bidi/>
            </w:pPr>
            <w:r>
              <w:rPr>
                <w:sz w:val="20"/>
              </w:rPr>
              <w:t>عرضه مجاز و رزرو یکتا</w:t>
            </w:r>
          </w:p>
        </w:tc>
        <w:tc>
          <w:tcPr>
            <w:tcW w:type="dxa" w:w="1080"/>
          </w:tcPr>
          <w:p>
            <w:pPr>
              <w:spacing w:after="100" w:before="100"/>
              <w:jc w:val="right"/>
              <w:bidi/>
            </w:pPr>
            <w:r>
              <w:rPr>
                <w:sz w:val="20"/>
              </w:rPr>
              <w:t>T02</w:t>
            </w:r>
          </w:p>
        </w:tc>
      </w:tr>
      <w:tr>
        <w:tc>
          <w:tcPr>
            <w:tcW w:type="dxa" w:w="1440"/>
          </w:tcPr>
          <w:p>
            <w:pPr>
              <w:spacing w:after="100" w:before="100"/>
              <w:jc w:val="right"/>
              <w:bidi/>
            </w:pPr>
            <w:r>
              <w:rPr>
                <w:sz w:val="20"/>
              </w:rPr>
              <w:t>پیش‌فروش</w:t>
            </w:r>
          </w:p>
        </w:tc>
        <w:tc>
          <w:tcPr>
            <w:tcW w:type="dxa" w:w="2376"/>
          </w:tcPr>
          <w:p>
            <w:pPr>
              <w:spacing w:after="100" w:before="100"/>
              <w:jc w:val="right"/>
              <w:bidi/>
            </w:pPr>
            <w:r>
              <w:rPr>
                <w:sz w:val="20"/>
              </w:rPr>
              <w:t>پرونده خریدار</w:t>
            </w:r>
          </w:p>
        </w:tc>
        <w:tc>
          <w:tcPr>
            <w:tcW w:type="dxa" w:w="5184"/>
          </w:tcPr>
          <w:p>
            <w:pPr>
              <w:spacing w:after="100" w:before="100"/>
              <w:jc w:val="right"/>
              <w:bidi/>
            </w:pPr>
            <w:r>
              <w:rPr>
                <w:sz w:val="20"/>
              </w:rPr>
              <w:t>قرارداد و تعهد مالی مستقل</w:t>
            </w:r>
          </w:p>
        </w:tc>
        <w:tc>
          <w:tcPr>
            <w:tcW w:type="dxa" w:w="1080"/>
          </w:tcPr>
          <w:p>
            <w:pPr>
              <w:spacing w:after="100" w:before="100"/>
              <w:jc w:val="right"/>
              <w:bidi/>
            </w:pPr>
            <w:r>
              <w:rPr>
                <w:sz w:val="20"/>
              </w:rPr>
              <w:t>T03</w:t>
            </w:r>
          </w:p>
        </w:tc>
      </w:tr>
      <w:tr>
        <w:tc>
          <w:tcPr>
            <w:tcW w:type="dxa" w:w="1440"/>
          </w:tcPr>
          <w:p>
            <w:pPr>
              <w:spacing w:after="100" w:before="100"/>
              <w:jc w:val="right"/>
              <w:bidi/>
            </w:pPr>
            <w:r>
              <w:rPr>
                <w:sz w:val="20"/>
              </w:rPr>
              <w:t>تحویل</w:t>
            </w:r>
          </w:p>
        </w:tc>
        <w:tc>
          <w:tcPr>
            <w:tcW w:type="dxa" w:w="2376"/>
          </w:tcPr>
          <w:p>
            <w:pPr>
              <w:spacing w:after="100" w:before="100"/>
              <w:jc w:val="right"/>
              <w:bidi/>
            </w:pPr>
            <w:r>
              <w:rPr>
                <w:sz w:val="20"/>
              </w:rPr>
              <w:t>بازدید و صورت‌جلسه</w:t>
            </w:r>
          </w:p>
        </w:tc>
        <w:tc>
          <w:tcPr>
            <w:tcW w:type="dxa" w:w="5184"/>
          </w:tcPr>
          <w:p>
            <w:pPr>
              <w:spacing w:after="100" w:before="100"/>
              <w:jc w:val="right"/>
              <w:bidi/>
            </w:pPr>
            <w:r>
              <w:rPr>
                <w:sz w:val="20"/>
              </w:rPr>
              <w:t>تحویل جزئی، نقص و شواهد</w:t>
            </w:r>
          </w:p>
        </w:tc>
        <w:tc>
          <w:tcPr>
            <w:tcW w:type="dxa" w:w="1080"/>
          </w:tcPr>
          <w:p>
            <w:pPr>
              <w:spacing w:after="100" w:before="100"/>
              <w:jc w:val="right"/>
              <w:bidi/>
            </w:pPr>
            <w:r>
              <w:rPr>
                <w:sz w:val="20"/>
              </w:rPr>
              <w:t>T04</w:t>
            </w:r>
          </w:p>
        </w:tc>
      </w:tr>
      <w:tr>
        <w:tc>
          <w:tcPr>
            <w:tcW w:type="dxa" w:w="1440"/>
          </w:tcPr>
          <w:p>
            <w:pPr>
              <w:spacing w:after="100" w:before="100"/>
              <w:jc w:val="right"/>
              <w:bidi/>
            </w:pPr>
            <w:r>
              <w:rPr>
                <w:sz w:val="20"/>
              </w:rPr>
              <w:t>خدمت</w:t>
            </w:r>
          </w:p>
        </w:tc>
        <w:tc>
          <w:tcPr>
            <w:tcW w:type="dxa" w:w="2376"/>
          </w:tcPr>
          <w:p>
            <w:pPr>
              <w:spacing w:after="100" w:before="100"/>
              <w:jc w:val="right"/>
              <w:bidi/>
            </w:pPr>
            <w:r>
              <w:rPr>
                <w:sz w:val="20"/>
              </w:rPr>
              <w:t>درخواست و سفارش</w:t>
            </w:r>
          </w:p>
        </w:tc>
        <w:tc>
          <w:tcPr>
            <w:tcW w:type="dxa" w:w="5184"/>
          </w:tcPr>
          <w:p>
            <w:pPr>
              <w:spacing w:after="100" w:before="100"/>
              <w:jc w:val="right"/>
              <w:bidi/>
            </w:pPr>
            <w:r>
              <w:rPr>
                <w:sz w:val="20"/>
              </w:rPr>
              <w:t>اتصال سفارش و دستورکار</w:t>
            </w:r>
          </w:p>
        </w:tc>
        <w:tc>
          <w:tcPr>
            <w:tcW w:type="dxa" w:w="1080"/>
          </w:tcPr>
          <w:p>
            <w:pPr>
              <w:spacing w:after="100" w:before="100"/>
              <w:jc w:val="right"/>
              <w:bidi/>
            </w:pPr>
            <w:r>
              <w:rPr>
                <w:sz w:val="20"/>
              </w:rPr>
              <w:t>T05</w:t>
            </w:r>
          </w:p>
        </w:tc>
      </w:tr>
      <w:tr>
        <w:tc>
          <w:tcPr>
            <w:tcW w:type="dxa" w:w="1440"/>
          </w:tcPr>
          <w:p>
            <w:pPr>
              <w:spacing w:after="100" w:before="100"/>
              <w:jc w:val="right"/>
              <w:bidi/>
            </w:pPr>
            <w:r>
              <w:rPr>
                <w:sz w:val="20"/>
              </w:rPr>
              <w:t>انتقال</w:t>
            </w:r>
          </w:p>
        </w:tc>
        <w:tc>
          <w:tcPr>
            <w:tcW w:type="dxa" w:w="2376"/>
          </w:tcPr>
          <w:p>
            <w:pPr>
              <w:spacing w:after="100" w:before="100"/>
              <w:jc w:val="right"/>
              <w:bidi/>
            </w:pPr>
            <w:r>
              <w:rPr>
                <w:sz w:val="20"/>
              </w:rPr>
              <w:t>مالکیت و دسترسی</w:t>
            </w:r>
          </w:p>
        </w:tc>
        <w:tc>
          <w:tcPr>
            <w:tcW w:type="dxa" w:w="5184"/>
          </w:tcPr>
          <w:p>
            <w:pPr>
              <w:spacing w:after="100" w:before="100"/>
              <w:jc w:val="right"/>
              <w:bidi/>
            </w:pPr>
            <w:r>
              <w:rPr>
                <w:sz w:val="20"/>
              </w:rPr>
              <w:t>تغییر رابطه و بسته اسناد</w:t>
            </w:r>
          </w:p>
        </w:tc>
        <w:tc>
          <w:tcPr>
            <w:tcW w:type="dxa" w:w="1080"/>
          </w:tcPr>
          <w:p>
            <w:pPr>
              <w:spacing w:after="100" w:before="100"/>
              <w:jc w:val="right"/>
              <w:bidi/>
            </w:pPr>
            <w:r>
              <w:rPr>
                <w:sz w:val="20"/>
              </w:rPr>
              <w:t>T06</w:t>
            </w:r>
          </w:p>
        </w:tc>
      </w:tr>
      <w:tr>
        <w:tc>
          <w:tcPr>
            <w:tcW w:type="dxa" w:w="1440"/>
          </w:tcPr>
          <w:p>
            <w:pPr>
              <w:spacing w:after="100" w:before="100"/>
              <w:jc w:val="right"/>
              <w:bidi/>
            </w:pPr>
            <w:r>
              <w:rPr>
                <w:sz w:val="20"/>
              </w:rPr>
              <w:t>اجاره</w:t>
            </w:r>
          </w:p>
        </w:tc>
        <w:tc>
          <w:tcPr>
            <w:tcW w:type="dxa" w:w="2376"/>
          </w:tcPr>
          <w:p>
            <w:pPr>
              <w:spacing w:after="100" w:before="100"/>
              <w:jc w:val="right"/>
              <w:bidi/>
            </w:pPr>
            <w:r>
              <w:rPr>
                <w:sz w:val="20"/>
              </w:rPr>
              <w:t>قرارداد و پایان تصرف</w:t>
            </w:r>
          </w:p>
        </w:tc>
        <w:tc>
          <w:tcPr>
            <w:tcW w:type="dxa" w:w="5184"/>
          </w:tcPr>
          <w:p>
            <w:pPr>
              <w:spacing w:after="100" w:before="100"/>
              <w:jc w:val="right"/>
              <w:bidi/>
            </w:pPr>
            <w:r>
              <w:rPr>
                <w:sz w:val="20"/>
              </w:rPr>
              <w:t>خاتمه، تسویه و تحویل</w:t>
            </w:r>
          </w:p>
        </w:tc>
        <w:tc>
          <w:tcPr>
            <w:tcW w:type="dxa" w:w="1080"/>
          </w:tcPr>
          <w:p>
            <w:pPr>
              <w:spacing w:after="100" w:before="100"/>
              <w:jc w:val="right"/>
              <w:bidi/>
            </w:pPr>
            <w:r>
              <w:rPr>
                <w:sz w:val="20"/>
              </w:rPr>
              <w:t>T07</w:t>
            </w:r>
          </w:p>
        </w:tc>
      </w:tr>
      <w:tr>
        <w:tc>
          <w:tcPr>
            <w:tcW w:type="dxa" w:w="1440"/>
          </w:tcPr>
          <w:p>
            <w:pPr>
              <w:spacing w:after="100" w:before="100"/>
              <w:jc w:val="right"/>
              <w:bidi/>
            </w:pPr>
            <w:r>
              <w:rPr>
                <w:sz w:val="20"/>
              </w:rPr>
              <w:t>مرز Workspace</w:t>
            </w:r>
          </w:p>
        </w:tc>
        <w:tc>
          <w:tcPr>
            <w:tcW w:type="dxa" w:w="2376"/>
          </w:tcPr>
          <w:p>
            <w:pPr>
              <w:spacing w:after="100" w:before="100"/>
              <w:jc w:val="right"/>
              <w:bidi/>
            </w:pPr>
            <w:r>
              <w:rPr>
                <w:sz w:val="20"/>
              </w:rPr>
              <w:t>دعوت و اشتراک مجاز</w:t>
            </w:r>
          </w:p>
        </w:tc>
        <w:tc>
          <w:tcPr>
            <w:tcW w:type="dxa" w:w="5184"/>
          </w:tcPr>
          <w:p>
            <w:pPr>
              <w:spacing w:after="100" w:before="100"/>
              <w:jc w:val="right"/>
              <w:bidi/>
            </w:pPr>
            <w:r>
              <w:rPr>
                <w:sz w:val="20"/>
              </w:rPr>
              <w:t>کنترل محدوده و لغو مجوز</w:t>
            </w:r>
          </w:p>
        </w:tc>
        <w:tc>
          <w:tcPr>
            <w:tcW w:type="dxa" w:w="1080"/>
          </w:tcPr>
          <w:p>
            <w:pPr>
              <w:spacing w:after="100" w:before="100"/>
              <w:jc w:val="right"/>
              <w:bidi/>
            </w:pPr>
            <w:r>
              <w:rPr>
                <w:sz w:val="20"/>
              </w:rPr>
              <w:t>T08</w:t>
            </w:r>
          </w:p>
        </w:tc>
      </w:tr>
      <w:tr>
        <w:tc>
          <w:tcPr>
            <w:tcW w:type="dxa" w:w="1440"/>
          </w:tcPr>
          <w:p>
            <w:pPr>
              <w:spacing w:after="100" w:before="100"/>
              <w:jc w:val="right"/>
              <w:bidi/>
            </w:pPr>
            <w:r>
              <w:rPr>
                <w:sz w:val="20"/>
              </w:rPr>
              <w:t>پایداری</w:t>
            </w:r>
          </w:p>
        </w:tc>
        <w:tc>
          <w:tcPr>
            <w:tcW w:type="dxa" w:w="2376"/>
          </w:tcPr>
          <w:p>
            <w:pPr>
              <w:spacing w:after="100" w:before="100"/>
              <w:jc w:val="right"/>
              <w:bidi/>
            </w:pPr>
            <w:r>
              <w:rPr>
                <w:sz w:val="20"/>
              </w:rPr>
              <w:t>وضعیت پردازش</w:t>
            </w:r>
          </w:p>
        </w:tc>
        <w:tc>
          <w:tcPr>
            <w:tcW w:type="dxa" w:w="5184"/>
          </w:tcPr>
          <w:p>
            <w:pPr>
              <w:spacing w:after="100" w:before="100"/>
              <w:jc w:val="right"/>
              <w:bidi/>
            </w:pPr>
            <w:r>
              <w:rPr>
                <w:sz w:val="20"/>
              </w:rPr>
              <w:t>رویداد و بازیابی خطا</w:t>
            </w:r>
          </w:p>
        </w:tc>
        <w:tc>
          <w:tcPr>
            <w:tcW w:type="dxa" w:w="1080"/>
          </w:tcPr>
          <w:p>
            <w:pPr>
              <w:spacing w:after="100" w:before="100"/>
              <w:jc w:val="right"/>
              <w:bidi/>
            </w:pPr>
            <w:r>
              <w:rPr>
                <w:sz w:val="20"/>
              </w:rPr>
              <w:t>T09</w:t>
            </w:r>
          </w:p>
        </w:tc>
      </w:tr>
      <w:tr>
        <w:tc>
          <w:tcPr>
            <w:tcW w:type="dxa" w:w="1440"/>
          </w:tcPr>
          <w:p>
            <w:pPr>
              <w:spacing w:after="100" w:before="100"/>
              <w:jc w:val="right"/>
              <w:bidi/>
            </w:pPr>
            <w:r>
              <w:rPr>
                <w:sz w:val="20"/>
              </w:rPr>
              <w:t>پایان عمر</w:t>
            </w:r>
          </w:p>
        </w:tc>
        <w:tc>
          <w:tcPr>
            <w:tcW w:type="dxa" w:w="2376"/>
          </w:tcPr>
          <w:p>
            <w:pPr>
              <w:spacing w:after="100" w:before="100"/>
              <w:jc w:val="right"/>
              <w:bidi/>
            </w:pPr>
            <w:r>
              <w:rPr>
                <w:sz w:val="20"/>
              </w:rPr>
              <w:t>خاتمه و آرشیو</w:t>
            </w:r>
          </w:p>
        </w:tc>
        <w:tc>
          <w:tcPr>
            <w:tcW w:type="dxa" w:w="5184"/>
          </w:tcPr>
          <w:p>
            <w:pPr>
              <w:spacing w:after="100" w:before="100"/>
              <w:jc w:val="right"/>
              <w:bidi/>
            </w:pPr>
            <w:r>
              <w:rPr>
                <w:sz w:val="20"/>
              </w:rPr>
              <w:t>حفظ سابقه طبق سیاست داده</w:t>
            </w:r>
          </w:p>
        </w:tc>
        <w:tc>
          <w:tcPr>
            <w:tcW w:type="dxa" w:w="1080"/>
          </w:tcPr>
          <w:p>
            <w:pPr>
              <w:spacing w:after="100" w:before="100"/>
              <w:jc w:val="right"/>
              <w:bidi/>
            </w:pPr>
            <w:r>
              <w:rPr>
                <w:sz w:val="20"/>
              </w:rPr>
              <w:t>T10</w:t>
            </w:r>
          </w:p>
        </w:tc>
      </w:tr>
    </w:tbl>
    <w:p>
      <w:pPr>
        <w:pStyle w:val="Heading1"/>
        <w:jc w:val="right"/>
        <w:bidi/>
      </w:pPr>
      <w:r>
        <w:t>سفارش و دستورکار</w:t>
      </w:r>
    </w:p>
    <w:p>
      <w:pPr>
        <w:jc w:val="right"/>
        <w:bidi/>
      </w:pPr>
      <w:r>
        <w:t>SERVICE مرجع سفارش خدمت است و Operations مرجع دستورکار. هر گام اجرایی سفارش حداکثر یک دستورکار متناظر داشته باشد؛ سفارش چندگامی می‌تواند چند دستورکار با پیوند روشن داشته باشد. خدمت مشاوره‌ای لزوماً دستورکار عملیاتی ندارد.</w:t>
      </w:r>
    </w:p>
    <w:p>
      <w:pPr>
        <w:pStyle w:val="Heading1"/>
        <w:jc w:val="right"/>
        <w:bidi/>
      </w:pPr>
      <w:r>
        <w:t>طبقه‌بندی مالی</w:t>
      </w:r>
    </w:p>
    <w:p>
      <w:pPr>
        <w:jc w:val="right"/>
        <w:bidi/>
      </w:pPr>
      <w:r>
        <w:t>اقساط خرید ملک، اجاره‌بها، شارژ ساختمان، مبلغ خدمت و اشتراک پلتفرم دسته‌های مستقل با طرف و تعهد مشخص هستند. زیرساخت مشترک مالی نباید سبب اختلاط دفاتر یا افشای اطلاعات میان آن‌ها شود.</w:t>
      </w:r>
    </w:p>
    <w:p>
      <w:pPr>
        <w:pStyle w:val="Heading1"/>
        <w:jc w:val="right"/>
        <w:pageBreakBefore/>
        <w:bidi/>
      </w:pPr>
      <w:r>
        <w:t>معیارهای پذیرش مشترک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9072"/>
      </w:tblGrid>
      <w:tr>
        <w:trPr>
          <w:tblHeader/>
        </w:trPr>
        <w:tc>
          <w:tcPr>
            <w:tcW w:type="dxa" w:w="1008"/>
            <w:shd w:fill="DCE6F1"/>
          </w:tcPr>
          <w:p>
            <w:pPr>
              <w:spacing w:after="100" w:before="100"/>
              <w:jc w:val="right"/>
              <w:bidi/>
            </w:pPr>
            <w:r>
              <w:rPr>
                <w:b/>
                <w:sz w:val="20"/>
              </w:rPr>
              <w:t>آزمون</w:t>
            </w:r>
          </w:p>
        </w:tc>
        <w:tc>
          <w:tcPr>
            <w:tcW w:type="dxa" w:w="9072"/>
            <w:shd w:fill="DCE6F1"/>
          </w:tcPr>
          <w:p>
            <w:pPr>
              <w:spacing w:after="100" w:before="100"/>
              <w:jc w:val="right"/>
              <w:bidi/>
            </w:pPr>
            <w:r>
              <w:rPr>
                <w:b/>
                <w:sz w:val="20"/>
              </w:rPr>
              <w:t>نتیجه قابل اثبات</w:t>
            </w:r>
          </w:p>
        </w:tc>
      </w:tr>
      <w:tr>
        <w:tc>
          <w:tcPr>
            <w:tcW w:type="dxa" w:w="1008"/>
          </w:tcPr>
          <w:p>
            <w:pPr>
              <w:spacing w:after="100" w:before="100"/>
              <w:jc w:val="right"/>
              <w:bidi/>
            </w:pPr>
            <w:r>
              <w:rPr>
                <w:sz w:val="20"/>
              </w:rPr>
              <w:t>T01</w:t>
            </w:r>
          </w:p>
        </w:tc>
        <w:tc>
          <w:tcPr>
            <w:tcW w:type="dxa" w:w="9072"/>
          </w:tcPr>
          <w:p>
            <w:pPr>
              <w:spacing w:after="100" w:before="100"/>
              <w:jc w:val="right"/>
              <w:bidi/>
            </w:pPr>
            <w:r>
              <w:rPr>
                <w:sz w:val="20"/>
              </w:rPr>
              <w:t>تغییر شماره یا مشخصات واحد، سوابق پیش‌فروش را قطع نمی‌کند؛ تفکیک و ادغام تبار قابل ردیابی دارند.</w:t>
            </w:r>
          </w:p>
        </w:tc>
      </w:tr>
      <w:tr>
        <w:tc>
          <w:tcPr>
            <w:tcW w:type="dxa" w:w="1008"/>
          </w:tcPr>
          <w:p>
            <w:pPr>
              <w:spacing w:after="100" w:before="100"/>
              <w:jc w:val="right"/>
              <w:bidi/>
            </w:pPr>
            <w:r>
              <w:rPr>
                <w:sz w:val="20"/>
              </w:rPr>
              <w:t>T02</w:t>
            </w:r>
          </w:p>
        </w:tc>
        <w:tc>
          <w:tcPr>
            <w:tcW w:type="dxa" w:w="9072"/>
          </w:tcPr>
          <w:p>
            <w:pPr>
              <w:spacing w:after="100" w:before="100"/>
              <w:jc w:val="right"/>
              <w:bidi/>
            </w:pPr>
            <w:r>
              <w:rPr>
                <w:sz w:val="20"/>
              </w:rPr>
              <w:t>دو درخواست هم‌زمان برای رزرو حق انحصاری واحد، به دو رزرو معتبر متعارض منجر نمی‌شوند.</w:t>
            </w:r>
          </w:p>
        </w:tc>
      </w:tr>
      <w:tr>
        <w:tc>
          <w:tcPr>
            <w:tcW w:type="dxa" w:w="1008"/>
          </w:tcPr>
          <w:p>
            <w:pPr>
              <w:spacing w:after="100" w:before="100"/>
              <w:jc w:val="right"/>
              <w:bidi/>
            </w:pPr>
            <w:r>
              <w:rPr>
                <w:sz w:val="20"/>
              </w:rPr>
              <w:t>T03</w:t>
            </w:r>
          </w:p>
        </w:tc>
        <w:tc>
          <w:tcPr>
            <w:tcW w:type="dxa" w:w="9072"/>
          </w:tcPr>
          <w:p>
            <w:pPr>
              <w:spacing w:after="100" w:before="100"/>
              <w:jc w:val="right"/>
              <w:bidi/>
            </w:pPr>
            <w:r>
              <w:rPr>
                <w:sz w:val="20"/>
              </w:rPr>
              <w:t>خریدار قراردادی نمی‌تواند با صرف پیش‌فروش نقش مالک قطعی یا مدیریت ساختمان بگیرد.</w:t>
            </w:r>
          </w:p>
        </w:tc>
      </w:tr>
      <w:tr>
        <w:tc>
          <w:tcPr>
            <w:tcW w:type="dxa" w:w="1008"/>
          </w:tcPr>
          <w:p>
            <w:pPr>
              <w:spacing w:after="100" w:before="100"/>
              <w:jc w:val="right"/>
              <w:bidi/>
            </w:pPr>
            <w:r>
              <w:rPr>
                <w:sz w:val="20"/>
              </w:rPr>
              <w:t>T04</w:t>
            </w:r>
          </w:p>
        </w:tc>
        <w:tc>
          <w:tcPr>
            <w:tcW w:type="dxa" w:w="9072"/>
          </w:tcPr>
          <w:p>
            <w:pPr>
              <w:spacing w:after="100" w:before="100"/>
              <w:jc w:val="right"/>
              <w:bidi/>
            </w:pPr>
            <w:r>
              <w:rPr>
                <w:sz w:val="20"/>
              </w:rPr>
              <w:t>تحویل جزئی با نواقص باز ثبت می‌شود؛ تأیید تحویل معادل تسویه کامل فرض نمی‌شود.</w:t>
            </w:r>
          </w:p>
        </w:tc>
      </w:tr>
      <w:tr>
        <w:tc>
          <w:tcPr>
            <w:tcW w:type="dxa" w:w="1008"/>
          </w:tcPr>
          <w:p>
            <w:pPr>
              <w:spacing w:after="100" w:before="100"/>
              <w:jc w:val="right"/>
              <w:bidi/>
            </w:pPr>
            <w:r>
              <w:rPr>
                <w:sz w:val="20"/>
              </w:rPr>
              <w:t>T05</w:t>
            </w:r>
          </w:p>
        </w:tc>
        <w:tc>
          <w:tcPr>
            <w:tcW w:type="dxa" w:w="9072"/>
          </w:tcPr>
          <w:p>
            <w:pPr>
              <w:spacing w:after="100" w:before="100"/>
              <w:jc w:val="right"/>
              <w:bidi/>
            </w:pPr>
            <w:r>
              <w:rPr>
                <w:sz w:val="20"/>
              </w:rPr>
              <w:t>ارسال دوباره درخواست، سفارش یا دستورکار تکراری نمی‌سازد؛ تکمیل دستورکار با پذیرش مشتری یکی نیست.</w:t>
            </w:r>
          </w:p>
        </w:tc>
      </w:tr>
      <w:tr>
        <w:tc>
          <w:tcPr>
            <w:tcW w:type="dxa" w:w="1008"/>
          </w:tcPr>
          <w:p>
            <w:pPr>
              <w:spacing w:after="100" w:before="100"/>
              <w:jc w:val="right"/>
              <w:bidi/>
            </w:pPr>
            <w:r>
              <w:rPr>
                <w:sz w:val="20"/>
              </w:rPr>
              <w:t>T06</w:t>
            </w:r>
          </w:p>
        </w:tc>
        <w:tc>
          <w:tcPr>
            <w:tcW w:type="dxa" w:w="9072"/>
          </w:tcPr>
          <w:p>
            <w:pPr>
              <w:spacing w:after="100" w:before="100"/>
              <w:jc w:val="right"/>
              <w:bidi/>
            </w:pPr>
            <w:r>
              <w:rPr>
                <w:sz w:val="20"/>
              </w:rPr>
              <w:t>خریدار جدید سوابق مجاز ملک را می‌بیند؛ مدارک شخصی فروشنده و گفتگوهای خصوصی را نمی‌بیند.</w:t>
            </w:r>
          </w:p>
        </w:tc>
      </w:tr>
      <w:tr>
        <w:tc>
          <w:tcPr>
            <w:tcW w:type="dxa" w:w="1008"/>
          </w:tcPr>
          <w:p>
            <w:pPr>
              <w:spacing w:after="100" w:before="100"/>
              <w:jc w:val="right"/>
              <w:bidi/>
            </w:pPr>
            <w:r>
              <w:rPr>
                <w:sz w:val="20"/>
              </w:rPr>
              <w:t>T07</w:t>
            </w:r>
          </w:p>
        </w:tc>
        <w:tc>
          <w:tcPr>
            <w:tcW w:type="dxa" w:w="9072"/>
          </w:tcPr>
          <w:p>
            <w:pPr>
              <w:spacing w:after="100" w:before="100"/>
              <w:jc w:val="right"/>
              <w:bidi/>
            </w:pPr>
            <w:r>
              <w:rPr>
                <w:sz w:val="20"/>
              </w:rPr>
              <w:t>خاتمه اجاره دسترسی عملیاتی را در زمان معتبر قطع می‌کند؛ مطالبات باز و اسناد مجاز باقی می‌مانند.</w:t>
            </w:r>
          </w:p>
        </w:tc>
      </w:tr>
      <w:tr>
        <w:tc>
          <w:tcPr>
            <w:tcW w:type="dxa" w:w="1008"/>
          </w:tcPr>
          <w:p>
            <w:pPr>
              <w:spacing w:after="100" w:before="100"/>
              <w:jc w:val="right"/>
              <w:bidi/>
            </w:pPr>
            <w:r>
              <w:rPr>
                <w:sz w:val="20"/>
              </w:rPr>
              <w:t>T08</w:t>
            </w:r>
          </w:p>
        </w:tc>
        <w:tc>
          <w:tcPr>
            <w:tcW w:type="dxa" w:w="9072"/>
          </w:tcPr>
          <w:p>
            <w:pPr>
              <w:spacing w:after="100" w:before="100"/>
              <w:jc w:val="right"/>
              <w:bidi/>
            </w:pPr>
            <w:r>
              <w:rPr>
                <w:sz w:val="20"/>
              </w:rPr>
              <w:t>عضویت در یک Workspace، دسترسی به Workspace دیگر نمی‌دهد؛ لغو مجوز در API و مسیر داده اعمال می‌شود.</w:t>
            </w:r>
          </w:p>
        </w:tc>
      </w:tr>
      <w:tr>
        <w:tc>
          <w:tcPr>
            <w:tcW w:type="dxa" w:w="1008"/>
          </w:tcPr>
          <w:p>
            <w:pPr>
              <w:spacing w:after="100" w:before="100"/>
              <w:jc w:val="right"/>
              <w:bidi/>
            </w:pPr>
            <w:r>
              <w:rPr>
                <w:sz w:val="20"/>
              </w:rPr>
              <w:t>T09</w:t>
            </w:r>
          </w:p>
        </w:tc>
        <w:tc>
          <w:tcPr>
            <w:tcW w:type="dxa" w:w="9072"/>
          </w:tcPr>
          <w:p>
            <w:pPr>
              <w:spacing w:after="100" w:before="100"/>
              <w:jc w:val="right"/>
              <w:bidi/>
            </w:pPr>
            <w:r>
              <w:rPr>
                <w:sz w:val="20"/>
              </w:rPr>
              <w:t>تکرار، تأخیر و ترتیب متفاوت رویدادها نتیجه مالی یا رابطه اضافی تولید نمی‌کند؛ خطا قابل پیگیری است.</w:t>
            </w:r>
          </w:p>
        </w:tc>
      </w:tr>
      <w:tr>
        <w:tc>
          <w:tcPr>
            <w:tcW w:type="dxa" w:w="1008"/>
          </w:tcPr>
          <w:p>
            <w:pPr>
              <w:spacing w:after="100" w:before="100"/>
              <w:jc w:val="right"/>
              <w:bidi/>
            </w:pPr>
            <w:r>
              <w:rPr>
                <w:sz w:val="20"/>
              </w:rPr>
              <w:t>T10</w:t>
            </w:r>
          </w:p>
        </w:tc>
        <w:tc>
          <w:tcPr>
            <w:tcW w:type="dxa" w:w="9072"/>
          </w:tcPr>
          <w:p>
            <w:pPr>
              <w:spacing w:after="100" w:before="100"/>
              <w:jc w:val="right"/>
              <w:bidi/>
            </w:pPr>
            <w:r>
              <w:rPr>
                <w:sz w:val="20"/>
              </w:rPr>
              <w:t>تعلیق اشتراک، پایان عمر ملک نیست؛ آرشیو تابع سیاست نگهداری و محدودیت دسترسی است.</w:t>
            </w:r>
          </w:p>
        </w:tc>
      </w:tr>
    </w:tbl>
    <w:p>
      <w:pPr>
        <w:pStyle w:val="Heading1"/>
        <w:jc w:val="right"/>
        <w:bidi/>
      </w:pPr>
      <w:r>
        <w:t>سناریوی یکپارچه</w:t>
      </w:r>
    </w:p>
    <w:p>
      <w:pPr>
        <w:jc w:val="right"/>
        <w:bidi/>
      </w:pPr>
      <w:r>
        <w:t>یک پروژه با دو واحد برنامه‌ریزی‌شده تعریف شود. واحد اول پیش‌فروش و سپس با نقص باز تحویل شود، واحد دوم هنوز در مرحله پیش‌فروش بماند. برای نقص، خدمت و دستورکار مرتبط ثبت شود. واحد اول اجاره داده و بعد با حفظ مرز اطلاعات فروخته شود. تغییر مدیر مجموعه و تکرار رویداد تحویل نیز آزموده شود.</w:t>
      </w:r>
    </w:p>
    <w:p>
      <w:pPr>
        <w:jc w:val="right"/>
        <w:bidi/>
      </w:pPr>
      <w:r>
        <w:t>آزمون‌ها با حساب‌های مجاز و داده آزمایشی مشخص انجام شوند. پیش از هر ورود موردنیاز، نام دقیق حساب به کاربر اعلام شود. گزارش باید محیط Preview یا Production و شناسه نسخه آزموده‌شده را صریح ذکر کند.</w:t>
      </w:r>
    </w:p>
    <w:p>
      <w:pPr>
        <w:pStyle w:val="Heading1"/>
        <w:jc w:val="right"/>
        <w:bidi/>
      </w:pPr>
      <w:r>
        <w:t>مدارک پایان کار</w:t>
      </w:r>
    </w:p>
    <w:p>
      <w:pPr>
        <w:jc w:val="right"/>
        <w:bidi/>
      </w:pPr>
      <w:r>
        <w:t>برای هر نیاز: مسیر کد، migration مرتبط یا عدم نیاز، API، صفحه، آزمون، نتیجه، PR و نسخه استقرار ثبت شود. موفقیت آزمون محلی جای بررسی CI یا انتشار واقعی را نمی‌گیرد.</w:t>
      </w:r>
    </w:p>
    <w:p>
      <w:pPr>
        <w:pStyle w:val="Heading1"/>
        <w:jc w:val="right"/>
        <w:pageBreakBefore/>
        <w:bidi/>
      </w:pPr>
      <w:r>
        <w:t>دستور تحویل به سه ورک</w:t>
      </w:r>
    </w:p>
    <w:p>
      <w:pPr>
        <w:pStyle w:val="Heading1"/>
        <w:jc w:val="right"/>
        <w:bidi/>
      </w:pPr>
      <w:r>
        <w:t>متن برای CLADORA 11</w:t>
      </w:r>
    </w:p>
    <w:p>
      <w:pPr>
        <w:jc w:val="right"/>
        <w:bidi/>
      </w:pPr>
      <w:r>
        <w:t>معماری چرخه عمر CLADORA و بسته اجرایی v1.1 را مبنا قرار بده. ابتدا وضعیت واقعی main، تغییرات جاری، PRها، migrations و امکانات هسته و Operations را بررسی کن. ماتریس موجود و آزموده، ناقص، جدید و متعارض بساز. مالک اجرای C01 تا C05 و O01 هستی. قرارداد مشترک را قبل از مصرف دو ورک دیگر نسخه‌دار کن. داده، نقش و workflow قبلی را حفظ کن و فقط شکاف مستند را اصلاح کن. تغییر مشترک موازی با AIRPROP یا SERVICE ایجاد نکن.</w:t>
      </w:r>
    </w:p>
    <w:p>
      <w:pPr>
        <w:pStyle w:val="Heading1"/>
        <w:jc w:val="right"/>
        <w:bidi/>
      </w:pPr>
      <w:r>
        <w:t>متن برای AIRPROP CLADORA</w:t>
      </w:r>
    </w:p>
    <w:p>
      <w:pPr>
        <w:jc w:val="right"/>
        <w:bidi/>
      </w:pPr>
      <w:r>
        <w:t>دامنه AIRPROP را از هویت اولیه و پیش‌فروش تا فروش، اجاره و مأموریت مدیریت با بسته v1.1 تطبیق بده. مسئول A01 تا A03 هستی. از هویت، روابط، اسناد، مالی و تحویل مشترک استفاده کن. امضای قرارداد، انتقال حق، پرداخت و تحویل را جدا نگه دار. ابتدا نگاشت کد و شکاف‌ها را گزارش و نیاز هسته را برای CLADORA 11 ثبت کن؛ تغییر مستقل در هسته ایجاد نکن. ابزارهای هوشمند پس از جریان قابل آزمون و با ارزیابی داده تکمیل شوند.</w:t>
      </w:r>
    </w:p>
    <w:p>
      <w:pPr>
        <w:pStyle w:val="Heading1"/>
        <w:jc w:val="right"/>
        <w:bidi/>
      </w:pPr>
      <w:r>
        <w:t>متن برای SERVICE CLADORA</w:t>
      </w:r>
    </w:p>
    <w:p>
      <w:pPr>
        <w:jc w:val="right"/>
        <w:bidi/>
      </w:pPr>
      <w:r>
        <w:t>خدمات را برای تمام مراحل عمر ملک با بسته v1.1 تطبیق بده. مسئول S01 و S02 هستی. قابلیت عرضه را بر اساس موضوع، اختیار و شرایط خدمت تعیین کن. سفارش‌های بازرسی تحویل، رفع نقص و آماده‌سازی اجاره را به پرونده مشترک وصل کن. دستورکار Operations را دوباره نساز. انجام خدمت، پذیرش، اختلاف و تسویه را مستقل نگه دار. نیازهای هسته را به CLADORA 11 ارجاع بده و بخش اختصاصی را بدون تداخل ادامه بده.</w:t>
      </w:r>
    </w:p>
    <w:p>
      <w:pPr>
        <w:pStyle w:val="Heading1"/>
        <w:jc w:val="right"/>
        <w:bidi/>
      </w:pPr>
      <w:r>
        <w:t>قالب گزارش اجباری هر ورک</w:t>
      </w:r>
    </w:p>
    <w:p>
      <w:pPr>
        <w:jc w:val="right"/>
        <w:bidi/>
      </w:pPr>
      <w:r>
        <w:t>شناسه نیاز | وضعیت واقعی | شواهد کد و آزمون | تعارض | مالک تغییر | وابستگی | اقدام باقی‌مانده. هیچ ردیفی بدون شواهد، تکمیل‌شده محسوب نشود. اجرای مستقل بخش‌های بدون وابستگی می‌تواند ادامه یابد؛ بخش وابسته فقط پس از آماده‌شدن قرارداد مشترک متصل شود.</w:t>
      </w:r>
    </w:p>
    <w:p>
      <w:pPr>
        <w:jc w:val="right"/>
        <w:bidi/>
      </w:pPr>
      <w:r>
        <w:t>این دستورها در سند آماده انتقال‌اند و از این گفتگو به ورک‌های مستقل ارسال نشده‌اند. این بسته مجوز جدید و نامحدود برای تغییر Production ایجاد نمی‌کند؛ هر ورک بر اساس مجوزهای معتبر همان جریان عمل کند.</w:t>
      </w:r>
    </w:p>
    <w:p>
      <w:pPr>
        <w:pStyle w:val="Heading1"/>
        <w:jc w:val="right"/>
        <w:pageBreakBefore/>
        <w:bidi/>
      </w:pPr>
      <w:r>
        <w:t>تعارض‌ها و ثبت نسخه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tblHeader/>
        </w:trPr>
        <w:tc>
          <w:tcPr>
            <w:tcW w:type="dxa" w:w="2448"/>
            <w:shd w:fill="DCE6F1"/>
          </w:tcPr>
          <w:p>
            <w:pPr>
              <w:spacing w:after="100" w:before="100"/>
              <w:jc w:val="right"/>
              <w:bidi/>
            </w:pPr>
            <w:r>
              <w:rPr>
                <w:b/>
                <w:sz w:val="20"/>
              </w:rPr>
              <w:t>موضوع</w:t>
            </w:r>
          </w:p>
        </w:tc>
        <w:tc>
          <w:tcPr>
            <w:tcW w:type="dxa" w:w="7632"/>
            <w:shd w:fill="DCE6F1"/>
          </w:tcPr>
          <w:p>
            <w:pPr>
              <w:spacing w:after="100" w:before="100"/>
              <w:jc w:val="right"/>
              <w:bidi/>
            </w:pPr>
            <w:r>
              <w:rPr>
                <w:b/>
                <w:sz w:val="20"/>
              </w:rPr>
              <w:t>تصمیم یا وضعیت</w:t>
            </w:r>
          </w:p>
        </w:tc>
      </w:tr>
      <w:tr>
        <w:tc>
          <w:tcPr>
            <w:tcW w:type="dxa" w:w="2448"/>
          </w:tcPr>
          <w:p>
            <w:pPr>
              <w:spacing w:after="100" w:before="100"/>
              <w:jc w:val="right"/>
              <w:bidi/>
            </w:pPr>
            <w:r>
              <w:rPr>
                <w:sz w:val="20"/>
              </w:rPr>
              <w:t>یک ملک و چند Workspace</w:t>
            </w:r>
          </w:p>
        </w:tc>
        <w:tc>
          <w:tcPr>
            <w:tcW w:type="dxa" w:w="7632"/>
          </w:tcPr>
          <w:p>
            <w:pPr>
              <w:spacing w:after="100" w:before="100"/>
              <w:jc w:val="right"/>
              <w:bidi/>
            </w:pPr>
            <w:r>
              <w:rPr>
                <w:sz w:val="20"/>
              </w:rPr>
              <w:t>مرجع اصلی و پیوند مجاز؛ مدل فعلی پیش از migration بررسی شود.</w:t>
            </w:r>
          </w:p>
        </w:tc>
      </w:tr>
      <w:tr>
        <w:tc>
          <w:tcPr>
            <w:tcW w:type="dxa" w:w="2448"/>
          </w:tcPr>
          <w:p>
            <w:pPr>
              <w:spacing w:after="100" w:before="100"/>
              <w:jc w:val="right"/>
              <w:bidi/>
            </w:pPr>
            <w:r>
              <w:rPr>
                <w:sz w:val="20"/>
              </w:rPr>
              <w:t>قرارداد در هسته و AIRPROP</w:t>
            </w:r>
          </w:p>
        </w:tc>
        <w:tc>
          <w:tcPr>
            <w:tcW w:type="dxa" w:w="7632"/>
          </w:tcPr>
          <w:p>
            <w:pPr>
              <w:spacing w:after="100" w:before="100"/>
              <w:jc w:val="right"/>
              <w:bidi/>
            </w:pPr>
            <w:r>
              <w:rPr>
                <w:sz w:val="20"/>
              </w:rPr>
              <w:t>ساختار و نسخه در هسته؛ قواعد معامله در AIRPROP؛ قرارداد جدید موازی ساخته نشود.</w:t>
            </w:r>
          </w:p>
        </w:tc>
      </w:tr>
      <w:tr>
        <w:tc>
          <w:tcPr>
            <w:tcW w:type="dxa" w:w="2448"/>
          </w:tcPr>
          <w:p>
            <w:pPr>
              <w:spacing w:after="100" w:before="100"/>
              <w:jc w:val="right"/>
              <w:bidi/>
            </w:pPr>
            <w:r>
              <w:rPr>
                <w:sz w:val="20"/>
              </w:rPr>
              <w:t>سفارش و دستورکار</w:t>
            </w:r>
          </w:p>
        </w:tc>
        <w:tc>
          <w:tcPr>
            <w:tcW w:type="dxa" w:w="7632"/>
          </w:tcPr>
          <w:p>
            <w:pPr>
              <w:spacing w:after="100" w:before="100"/>
              <w:jc w:val="right"/>
              <w:bidi/>
            </w:pPr>
            <w:r>
              <w:rPr>
                <w:sz w:val="20"/>
              </w:rPr>
              <w:t>مرجع‌های مستقل با ارتباط یکتای هر گام اجرایی؛ تعداد بر اساس ماهیت خدمت.</w:t>
            </w:r>
          </w:p>
        </w:tc>
      </w:tr>
      <w:tr>
        <w:tc>
          <w:tcPr>
            <w:tcW w:type="dxa" w:w="2448"/>
          </w:tcPr>
          <w:p>
            <w:pPr>
              <w:spacing w:after="100" w:before="100"/>
              <w:jc w:val="right"/>
              <w:bidi/>
            </w:pPr>
            <w:r>
              <w:rPr>
                <w:sz w:val="20"/>
              </w:rPr>
              <w:t>مرحله ساخت</w:t>
            </w:r>
          </w:p>
        </w:tc>
        <w:tc>
          <w:tcPr>
            <w:tcW w:type="dxa" w:w="7632"/>
          </w:tcPr>
          <w:p>
            <w:pPr>
              <w:spacing w:after="100" w:before="100"/>
              <w:jc w:val="right"/>
              <w:bidi/>
            </w:pPr>
            <w:r>
              <w:rPr>
                <w:sz w:val="20"/>
              </w:rPr>
              <w:t>اطلاع‌رسانی مجاز و خدمات مشتری داخل دامنه؛ مدیریت اجرای ساخت خارج از دامنه.</w:t>
            </w:r>
          </w:p>
        </w:tc>
      </w:tr>
      <w:tr>
        <w:tc>
          <w:tcPr>
            <w:tcW w:type="dxa" w:w="2448"/>
          </w:tcPr>
          <w:p>
            <w:pPr>
              <w:spacing w:after="100" w:before="100"/>
              <w:jc w:val="right"/>
              <w:bidi/>
            </w:pPr>
            <w:r>
              <w:rPr>
                <w:sz w:val="20"/>
              </w:rPr>
              <w:t>انتقال اسناد</w:t>
            </w:r>
          </w:p>
        </w:tc>
        <w:tc>
          <w:tcPr>
            <w:tcW w:type="dxa" w:w="7632"/>
          </w:tcPr>
          <w:p>
            <w:pPr>
              <w:spacing w:after="100" w:before="100"/>
              <w:jc w:val="right"/>
              <w:bidi/>
            </w:pPr>
            <w:r>
              <w:rPr>
                <w:sz w:val="20"/>
              </w:rPr>
              <w:t>طبقه‌بندی و فهرست مجاز انتقال لازم؛ بسته کامل مدارک طرف قبلی منتقل نشود.</w:t>
            </w:r>
          </w:p>
        </w:tc>
      </w:tr>
      <w:tr>
        <w:tc>
          <w:tcPr>
            <w:tcW w:type="dxa" w:w="2448"/>
          </w:tcPr>
          <w:p>
            <w:pPr>
              <w:spacing w:after="100" w:before="100"/>
              <w:jc w:val="right"/>
              <w:bidi/>
            </w:pPr>
            <w:r>
              <w:rPr>
                <w:sz w:val="20"/>
              </w:rPr>
              <w:t>تأیید تغییر حق</w:t>
            </w:r>
          </w:p>
        </w:tc>
        <w:tc>
          <w:tcPr>
            <w:tcW w:type="dxa" w:w="7632"/>
          </w:tcPr>
          <w:p>
            <w:pPr>
              <w:spacing w:after="100" w:before="100"/>
              <w:jc w:val="right"/>
              <w:bidi/>
            </w:pPr>
            <w:r>
              <w:rPr>
                <w:sz w:val="20"/>
              </w:rPr>
              <w:t>مدرک لازم و نقش تأییدکننده برای هر جریان باید مشخص شود؛ از وضعیت پرداخت استنتاج نشود.</w:t>
            </w:r>
          </w:p>
        </w:tc>
      </w:tr>
      <w:tr>
        <w:tc>
          <w:tcPr>
            <w:tcW w:type="dxa" w:w="2448"/>
          </w:tcPr>
          <w:p>
            <w:pPr>
              <w:spacing w:after="100" w:before="100"/>
              <w:jc w:val="right"/>
              <w:bidi/>
            </w:pPr>
            <w:r>
              <w:rPr>
                <w:sz w:val="20"/>
              </w:rPr>
              <w:t>نگهداری داده</w:t>
            </w:r>
          </w:p>
        </w:tc>
        <w:tc>
          <w:tcPr>
            <w:tcW w:type="dxa" w:w="7632"/>
          </w:tcPr>
          <w:p>
            <w:pPr>
              <w:spacing w:after="100" w:before="100"/>
              <w:jc w:val="right"/>
              <w:bidi/>
            </w:pPr>
            <w:r>
              <w:rPr>
                <w:sz w:val="20"/>
              </w:rPr>
              <w:t>مدت و قواعد نگهداری هر دسته، نیازمند سیاست مصوب؛ مقدار عددی در این سند تعیین نشده است.</w:t>
            </w:r>
          </w:p>
        </w:tc>
      </w:tr>
      <w:tr>
        <w:tc>
          <w:tcPr>
            <w:tcW w:type="dxa" w:w="2448"/>
          </w:tcPr>
          <w:p>
            <w:pPr>
              <w:spacing w:after="100" w:before="100"/>
              <w:jc w:val="right"/>
              <w:bidi/>
            </w:pPr>
            <w:r>
              <w:rPr>
                <w:sz w:val="20"/>
              </w:rPr>
              <w:t>داده بازار و AI</w:t>
            </w:r>
          </w:p>
        </w:tc>
        <w:tc>
          <w:tcPr>
            <w:tcW w:type="dxa" w:w="7632"/>
          </w:tcPr>
          <w:p>
            <w:pPr>
              <w:spacing w:after="100" w:before="100"/>
              <w:jc w:val="right"/>
              <w:bidi/>
            </w:pPr>
            <w:r>
              <w:rPr>
                <w:sz w:val="20"/>
              </w:rPr>
              <w:t>منبع، مجوز استفاده، تازگی و معیار کیفیت پیش از ادعای دقت مشخص شوند.</w:t>
            </w:r>
          </w:p>
        </w:tc>
      </w:tr>
    </w:tbl>
    <w:p>
      <w:pPr>
        <w:pStyle w:val="Heading1"/>
        <w:jc w:val="right"/>
        <w:bidi/>
      </w:pPr>
      <w:r>
        <w:t>ثبت تغییرات نسخه ۱٫۱</w:t>
      </w:r>
    </w:p>
    <w:p>
      <w:pPr>
        <w:jc w:val="right"/>
        <w:bidi/>
      </w:pPr>
      <w:r>
        <w:t>افزوده‌ها نسبت به طرح v1.0 گفتگو: شناسه بسته‌های اجرایی، وابستگی‌ها، قواعد رزرو و انتقال، قرارداد رویداد، ماتریس نیاز تا آزمون، ده معیار پذیرش، سناریوی یکپارچه و سه دستور تحویل. هیچ ادعای تطبیق قطعی با schema فعلی یا تکمیل استقرار اضافه نشده است.</w:t>
      </w:r>
    </w:p>
    <w:p>
      <w:pPr>
        <w:pStyle w:val="Heading1"/>
        <w:jc w:val="right"/>
        <w:bidi/>
      </w:pPr>
      <w:r>
        <w:t>ارزیابی تحقیق و توسعه</w:t>
      </w:r>
    </w:p>
    <w:p>
      <w:pPr>
        <w:jc w:val="right"/>
        <w:bidi/>
      </w:pPr>
      <w:r>
        <w:t>R&amp;D / REXCD Assessment</w:t>
      </w:r>
    </w:p>
    <w:p>
      <w:pPr>
        <w:jc w:val="right"/>
        <w:bidi/>
      </w:pPr>
      <w:r>
        <w:t>ROUTINE ENGINEERING — NOT CLAIMED AS R&amp;D</w:t>
      </w:r>
    </w:p>
    <w:p>
      <w:pPr>
        <w:jc w:val="right"/>
        <w:bidi/>
      </w:pPr>
      <w:r>
        <w:t>این کار تدوین معماری و هماهنگی اجرای محصول است. هیچ آزمایش، هزینه، ساعت کاری یا نتیجه پژوهشی بازسازی نشده است. قابلیت‌های AI احتمالی فقط پس از ثبت عدم قطعیت فنی، روش آزمایش و شواهد مستقل قابل ارزیابی پژوهشی هستند.</w:t>
      </w:r>
    </w:p>
    <w:p>
      <w:pPr>
        <w:jc w:val="right"/>
        <w:bidi/>
      </w:pPr>
      <w:r>
        <w:t>مبنای شواهد: تصمیم‌های کاربر و طرح v1.0 همین گفتگو، به‌علاوه سوابق متنی بازیابی‌شده درباره مرز سه ورک. بررسی زنده مخزن و تطبیق فایل‌های رسمی پیشین در این بسته انجام نشده است.</w:t>
      </w:r>
    </w:p>
    <w:p>
      <w:pPr>
        <w:pStyle w:val="Heading1"/>
        <w:jc w:val="right"/>
        <w:pageBreakBefore/>
        <w:bidi/>
      </w:pPr>
      <w:r>
        <w:t>تداوم مسیرها در ورک‌های شماره‌دار</w:t>
      </w:r>
    </w:p>
    <w:p>
      <w:pPr>
        <w:jc w:val="right"/>
        <w:bidi/>
      </w:pPr>
      <w:r>
        <w:t>شماره ورک، شماره جلسه اجرایی است و هویت معماری یا مالکیت مسئولیت نیست. نام‌های CLADORA 11، AIRPROP CLADORA 01 و SERVICE CLADORA 01 در این سند فقط جلسات فعلی گزارش‌شده توسط کاربر هستند.</w:t>
      </w:r>
    </w:p>
    <w:p>
      <w:pPr>
        <w:jc w:val="right"/>
        <w:bidi/>
      </w:pPr>
      <w:r>
        <w:t>سه مسیر ثابت عبارت‌اند از هسته و عملیات CLADORA، مسیر AIRPROP و مسیر SERVICE. تمام مسئولیت‌ها، وابستگی‌ها و شناسه‌های این بسته به مسیر ثابت تعلق دارند. ارجاع به CLADORA 11 در صفحات قبل، شامل جانشین آن در مسیر هسته و عملیات نیز می‌شود؛ همین قاعده برای AIRPROP و SERVICE برقرار است.</w:t>
      </w:r>
    </w:p>
    <w:p>
      <w:pPr>
        <w:jc w:val="right"/>
        <w:bidi/>
      </w:pPr>
      <w:r>
        <w:t>پس از پرشدن ظرفیت، کار با همان نام و شماره بعد ادامه پیدا می‌کند؛ برای مثال CLADORA 11 به CLADORA 12 منتقل می‌شود. انتقال جلسه به‌تنهایی تغییر نسخه محصول، ایجاد branch، اجرای migration یا تکرار کار تکمیل‌شده را لازم نمی‌کند.</w:t>
      </w:r>
    </w:p>
    <w:p>
      <w:pPr>
        <w:pStyle w:val="Heading1"/>
        <w:jc w:val="right"/>
        <w:bidi/>
      </w:pPr>
      <w:r>
        <w:t>بسته تحویل به جانشین</w:t>
      </w:r>
    </w:p>
    <w:p>
      <w:pPr>
        <w:jc w:val="right"/>
        <w:bidi/>
      </w:pPr>
      <w:r>
        <w:t>۱. نام مسیر ثابت، نام دقیق ورک قبلی و جدید، تاریخ تحویل و آخرین نقطه قابل اتکا.</w:t>
      </w:r>
    </w:p>
    <w:p>
      <w:pPr>
        <w:jc w:val="right"/>
        <w:bidi/>
      </w:pPr>
      <w:r>
        <w:t>۲. هدف جاری، شناسه نیازها، تصمیم‌ها و نسخه سند مرجع؛ محدودیت‌ها و مجوزهای معتبر.</w:t>
      </w:r>
    </w:p>
    <w:p>
      <w:pPr>
        <w:jc w:val="right"/>
        <w:bidi/>
      </w:pPr>
      <w:r>
        <w:t>۳. مخزن، branch یا worktree، commit، PR، وضعیت working tree و تغییرات ارسال‌نشده؛ فقط بر اساس بررسی واقعی.</w:t>
      </w:r>
    </w:p>
    <w:p>
      <w:pPr>
        <w:jc w:val="right"/>
        <w:bidi/>
      </w:pPr>
      <w:r>
        <w:t>۴. وضعیت آزمون‌ها و CI، migrations محلی و اعمال‌شده، محیط و نسخه استقرار؛ هر مورد بررسی‌نشده صریح علامت‌گذاری شود.</w:t>
      </w:r>
    </w:p>
    <w:p>
      <w:pPr>
        <w:jc w:val="right"/>
        <w:bidi/>
      </w:pPr>
      <w:r>
        <w:t>۵. موارد تکمیل‌شده با شواهد، موارد ناقص، خطاهای باز و اقدام بعدی قابل اجرا.</w:t>
      </w:r>
    </w:p>
    <w:p>
      <w:pPr>
        <w:jc w:val="right"/>
        <w:bidi/>
      </w:pPr>
      <w:r>
        <w:t>۶. مالکیت تغییرات مشترک، وابستگی به دو مسیر دیگر و فایل‌هایی که هم‌زمان در حال تغییرند.</w:t>
      </w:r>
    </w:p>
    <w:p>
      <w:pPr>
        <w:jc w:val="right"/>
        <w:bidi/>
      </w:pPr>
      <w:r>
        <w:t>۷. حساب موردنیاز برای آزمون و وضعیت آخرین ورود بدون ذخیره رمز، توکن یا اطلاعات محرمانه.</w:t>
      </w:r>
    </w:p>
    <w:p>
      <w:pPr>
        <w:jc w:val="right"/>
        <w:bidi/>
      </w:pPr>
      <w:r>
        <w:t>۸. مجوزهای قبلی با دامنه دقیق و موارد نیازمند تصمیم؛ انتقال چت دامنه مجوز را گسترش نمی‌دهد.</w:t>
      </w:r>
    </w:p>
    <w:p>
      <w:pPr>
        <w:pStyle w:val="Heading1"/>
        <w:jc w:val="right"/>
        <w:bidi/>
      </w:pPr>
      <w:r>
        <w:t>شروع ورک جانشین</w:t>
      </w:r>
    </w:p>
    <w:p>
      <w:pPr>
        <w:jc w:val="right"/>
        <w:bidi/>
      </w:pPr>
      <w:r>
        <w:t>جانشین ابتدا بسته تحویل و وضعیت واقعی را تطبیق می‌دهد؛ گزارش قدیمی را وضعیت زنده فرض نمی‌کند. سپس از اولین کار ناتمام ادامه می‌دهد. جلسه قبلی پس از انتقال مسئولیت، همان تغییرات را موازی ادامه ندهد. رجیستر هماهنگی باید برای هر مسیر، جلسه جاری و آخرین بسته تحویل را نشان دهد.</w:t>
      </w:r>
    </w:p>
    <w:p>
      <w:pPr>
        <w:jc w:val="right"/>
        <w:bidi/>
      </w:pPr>
      <w:r>
        <w:t>قاعده فوق تصمیم مستقیم کاربر در همین مرحله است و به نسخه ۱٫۱ افزوده شد. هنوز هیچ انتقال جلسه یا پیام بین ورک‌های مستقل از این گفتگو انجام نشده است.</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CLADORA  |  Lifecycle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s="Arial"/>
      <w:color w:val="000000"/>
      <w:sz w:val="22"/>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cs="Arial"/>
      <w:b/>
      <w:bCs/>
      <w:color w:val="000000"/>
      <w:sz w:val="28"/>
      <w:szCs w:val="28"/>
      <w:rFonts/>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cs="Arial"/>
      <w:b/>
      <w:bCs/>
      <w:color w:val="000000"/>
      <w:sz w:val="28"/>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s="Arial"/>
      <w:color w:val="000000"/>
      <w:spacing w:val="5"/>
      <w:kern w:val="28"/>
      <w:sz w:val="3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