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1b3a6b"/>
          <w:sz w:val="40"/>
          <w:szCs w:val="40"/>
          <w:rtl w:val="0"/>
        </w:rPr>
        <w:t xml:space="preserve">ONUG Agentic AI Overlay Mandatory Controls (AOMC)</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0"/>
          <w:bCs w:val="0"/>
          <w:color w:val="2e6fad"/>
          <w:sz w:val="24"/>
          <w:szCs w:val="24"/>
          <w:rtl w:val="0"/>
        </w:rPr>
        <w:t xml:space="preserve">Vendor Security Capabilities Matrix — Mapped to NIST AI Risk Management Framework (AI RMF 1.0)</w:t>
      </w:r>
      <w:r w:rsidDel="00000000" w:rsidR="00000000" w:rsidRPr="00000000">
        <w:rPr>
          <w:rtl w:val="0"/>
        </w:rPr>
      </w:r>
    </w:p>
    <w:p w:rsidR="00000000" w:rsidDel="00000000" w:rsidP="00000000" w:rsidRDefault="00000000" w:rsidRPr="00000000" w14:paraId="00000003">
      <w:pPr>
        <w:pBdr>
          <w:bottom w:color="1b3a6b" w:space="4" w:sz="6" w:val="single"/>
        </w:pBdr>
        <w:spacing w:after="180" w:before="0" w:lineRule="auto"/>
        <w:rPr/>
      </w:pPr>
      <w:r w:rsidDel="00000000" w:rsidR="00000000" w:rsidRPr="00000000">
        <w:rPr>
          <w:rFonts w:ascii="Arial" w:cs="Arial" w:eastAsia="Arial" w:hAnsi="Arial"/>
          <w:color w:val="555555"/>
          <w:sz w:val="20"/>
          <w:szCs w:val="20"/>
          <w:rtl w:val="0"/>
        </w:rPr>
        <w:t xml:space="preserve">ONUG AI Networking Summit  |  May 13–14, 2026  |  Frisco / Dallas, TX</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Arial" w:cs="Arial" w:eastAsia="Arial" w:hAnsi="Arial"/>
          <w:sz w:val="18"/>
          <w:szCs w:val="18"/>
          <w:rtl w:val="0"/>
        </w:rPr>
        <w:t xml:space="preserve">Purpose: This matrix defines the minimum security capabilities that participating vendors must demonstrate for each of the six Agentic Overlay Mandatory Controls (AOMC) identified by the ONUG Agentic AI Overlay Working Group. Each control is mapped to the NIST AI Risk Management Framework (NIST AI RMF 1.0, NIST AI 100-1) Core Functions and Subcategories. The final column lists non-negotiable Security Invariants — conditions that MUST hold true for the control to be considered adequately implemented in a Global 2000 enterprise production environment.</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Arial" w:cs="Arial" w:eastAsia="Arial" w:hAnsi="Arial"/>
          <w:b w:val="1"/>
          <w:bCs w:val="1"/>
          <w:color w:val="444444"/>
          <w:sz w:val="17"/>
          <w:szCs w:val="17"/>
          <w:rtl w:val="0"/>
        </w:rPr>
        <w:t xml:space="preserve">Source Documents: </w:t>
      </w:r>
      <w:r w:rsidDel="00000000" w:rsidR="00000000" w:rsidRPr="00000000">
        <w:rPr>
          <w:rFonts w:ascii="Arial" w:cs="Arial" w:eastAsia="Arial" w:hAnsi="Arial"/>
          <w:color w:val="444444"/>
          <w:sz w:val="17"/>
          <w:szCs w:val="17"/>
          <w:rtl w:val="0"/>
        </w:rPr>
        <w:t xml:space="preserve">(1) ONUG Polling Slides — AOMC Working Group Survey Results  |  (2) ONUG Agentic Challenge FAQ (AI Networking Summit, May 2026)  |  (3) NIST AI Risk Management Framework (AI RMF 1.0, NIST AI 100-1, January 2023)</w:t>
      </w:r>
      <w:r w:rsidDel="00000000" w:rsidR="00000000" w:rsidRPr="00000000">
        <w:rPr>
          <w:rtl w:val="0"/>
        </w:rPr>
      </w:r>
    </w:p>
    <w:p w:rsidR="00000000" w:rsidDel="00000000" w:rsidP="00000000" w:rsidRDefault="00000000" w:rsidRPr="00000000" w14:paraId="00000006">
      <w:pPr>
        <w:spacing w:after="40" w:before="60" w:lineRule="auto"/>
        <w:rPr/>
      </w:pPr>
      <w:r w:rsidDel="00000000" w:rsidR="00000000" w:rsidRPr="00000000">
        <w:rPr>
          <w:rFonts w:ascii="Arial" w:cs="Arial" w:eastAsia="Arial" w:hAnsi="Arial"/>
          <w:b w:val="1"/>
          <w:bCs w:val="1"/>
          <w:color w:val="1b3a6b"/>
          <w:sz w:val="19"/>
          <w:szCs w:val="19"/>
          <w:rtl w:val="0"/>
        </w:rPr>
        <w:t xml:space="preserve">NIST AI RMF Reference — Four Core Functions: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 Establishes organizational accountability, policies, culture, and risk tolerances for AI systems across the lifecycle.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 Identifies and frames AI risks in context: categorizes system use, stakeholders, foreseeable harms, and risk priorities.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 Analyzes, assesses, and tracks AI risks using quantitative and qualitative methods; produces evidence of trustworthiness.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 Prioritizes and responds to AI risks; includes treatment plans, incident response, and residual risk acceptance decisions.</w:t>
      </w:r>
      <w:r w:rsidDel="00000000" w:rsidR="00000000" w:rsidRPr="00000000">
        <w:rPr>
          <w:rtl w:val="0"/>
        </w:rPr>
      </w:r>
    </w:p>
    <w:p w:rsidR="00000000" w:rsidDel="00000000" w:rsidP="00000000" w:rsidRDefault="00000000" w:rsidRPr="00000000" w14:paraId="0000000B">
      <w:pPr>
        <w:spacing w:after="0" w:before="160" w:lineRule="auto"/>
        <w:rPr/>
      </w:pPr>
      <w:r w:rsidDel="00000000" w:rsidR="00000000" w:rsidRPr="00000000">
        <w:rPr>
          <w:rtl w:val="0"/>
        </w:rPr>
      </w:r>
    </w:p>
    <w:p w:rsidR="00000000" w:rsidDel="00000000" w:rsidP="00000000" w:rsidRDefault="00000000" w:rsidRPr="00000000" w14:paraId="0000000C">
      <w:pPr>
        <w:pBdr>
          <w:bottom w:color="2e6fad" w:space="4" w:sz="6" w:val="single"/>
        </w:pBdr>
        <w:spacing w:after="160" w:before="0" w:lineRule="auto"/>
        <w:rPr/>
      </w:pPr>
      <w:r w:rsidDel="00000000" w:rsidR="00000000" w:rsidRPr="00000000">
        <w:rPr>
          <w:rFonts w:ascii="Arial" w:cs="Arial" w:eastAsia="Arial" w:hAnsi="Arial"/>
          <w:b w:val="1"/>
          <w:bCs w:val="1"/>
          <w:color w:val="1b3a6b"/>
          <w:sz w:val="28"/>
          <w:szCs w:val="28"/>
          <w:rtl w:val="0"/>
        </w:rPr>
        <w:t xml:space="preserve">Key Definitions</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w:cs="Arial" w:eastAsia="Arial" w:hAnsi="Arial"/>
          <w:b w:val="1"/>
          <w:bCs w:val="1"/>
          <w:color w:val="2e6fad"/>
          <w:sz w:val="22"/>
          <w:szCs w:val="22"/>
          <w:rtl w:val="0"/>
        </w:rPr>
        <w:t xml:space="preserve">Security Capability</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Fonts w:ascii="Arial" w:cs="Arial" w:eastAsia="Arial" w:hAnsi="Arial"/>
          <w:sz w:val="18"/>
          <w:szCs w:val="18"/>
          <w:rtl w:val="0"/>
        </w:rPr>
        <w:t xml:space="preserve">A security capability is something a vendor’s product can do — a feature, function, or control mechanism that exists in the platform. It answers the question: “What does your system provide?” Capabilities are descriptive and additive. A vendor may implement some but not all listed capabilities and still represent a strong partial solution. Capabilities are what vendors demo, publish in datasheets, and demonstrate in a proof-of-concept. They constrain the implementation approach but leave room for vendor flexibility in how the outcome is achieved.</w:t>
      </w:r>
      <w:r w:rsidDel="00000000" w:rsidR="00000000" w:rsidRPr="00000000">
        <w:rPr>
          <w:rtl w:val="0"/>
        </w:rPr>
      </w:r>
    </w:p>
    <w:p w:rsidR="00000000" w:rsidDel="00000000" w:rsidP="00000000" w:rsidRDefault="00000000" w:rsidRPr="00000000" w14:paraId="0000000F">
      <w:pPr>
        <w:spacing w:after="40" w:before="0" w:lineRule="auto"/>
        <w:rPr/>
      </w:pPr>
      <w:r w:rsidDel="00000000" w:rsidR="00000000" w:rsidRPr="00000000">
        <w:rPr>
          <w:rFonts w:ascii="Arial" w:cs="Arial" w:eastAsia="Arial" w:hAnsi="Arial"/>
          <w:b w:val="1"/>
          <w:bCs w:val="1"/>
          <w:sz w:val="18"/>
          <w:szCs w:val="18"/>
          <w:rtl w:val="0"/>
        </w:rPr>
        <w:t xml:space="preserve">Examples from this matrix:</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"Prompt inspection and sanitization at ingress" (AOMC-3) — the platform has a capability to inspect and clean inputs before they reach the model or agent.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"Mutual TLS / mTLS for agent-to-agent communication" (AOMC-1) — the platform supports encrypted, mutually authenticated channels between agents.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"Real-time anomaly detection: API call rate, tool invocation sequence, resource access" (AOMC-2) — the platform provides observable signals for detecting behavioral drift at runtime.</w:t>
      </w:r>
      <w:r w:rsidDel="00000000" w:rsidR="00000000" w:rsidRPr="00000000">
        <w:rPr>
          <w:rtl w:val="0"/>
        </w:rPr>
      </w:r>
    </w:p>
    <w:p w:rsidR="00000000" w:rsidDel="00000000" w:rsidP="00000000" w:rsidRDefault="00000000" w:rsidRPr="00000000" w14:paraId="00000013">
      <w:pPr>
        <w:spacing w:after="0" w:before="120" w:lineRule="auto"/>
        <w:rPr/>
      </w:pPr>
      <w:r w:rsidDel="00000000" w:rsidR="00000000" w:rsidRPr="00000000">
        <w:rPr>
          <w:rtl w:val="0"/>
        </w:rPr>
      </w:r>
    </w:p>
    <w:p w:rsidR="00000000" w:rsidDel="00000000" w:rsidP="00000000" w:rsidRDefault="00000000" w:rsidRPr="00000000" w14:paraId="00000014">
      <w:pPr>
        <w:spacing w:after="60" w:before="0" w:lineRule="auto"/>
        <w:rPr/>
      </w:pPr>
      <w:r w:rsidDel="00000000" w:rsidR="00000000" w:rsidRPr="00000000">
        <w:rPr>
          <w:rFonts w:ascii="Arial" w:cs="Arial" w:eastAsia="Arial" w:hAnsi="Arial"/>
          <w:b w:val="1"/>
          <w:bCs w:val="1"/>
          <w:color w:val="2e6fad"/>
          <w:sz w:val="22"/>
          <w:szCs w:val="22"/>
          <w:rtl w:val="0"/>
        </w:rPr>
        <w:t xml:space="preserve">Security Invariant</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Fonts w:ascii="Arial" w:cs="Arial" w:eastAsia="Arial" w:hAnsi="Arial"/>
          <w:sz w:val="18"/>
          <w:szCs w:val="18"/>
          <w:rtl w:val="0"/>
        </w:rPr>
        <w:t xml:space="preserve">A security invariant is a condition that must remain true at all times during agent operation — regardless of how the underlying capability is implemented. It answers the question: “What must never be violated, no matter what?” Invariants are binary and non-negotiable: the system either upholds them or it does not. There is no partial credit. They function as correctness properties — analogous to “shall” requirements in formal security standards such as FIPS or Common Criteria — and define the minimum acceptable outcome independent of vendor implementation choices.</w:t>
      </w:r>
      <w:r w:rsidDel="00000000" w:rsidR="00000000" w:rsidRPr="00000000">
        <w:rPr>
          <w:rtl w:val="0"/>
        </w:rPr>
      </w:r>
    </w:p>
    <w:p w:rsidR="00000000" w:rsidDel="00000000" w:rsidP="00000000" w:rsidRDefault="00000000" w:rsidRPr="00000000" w14:paraId="00000016">
      <w:pPr>
        <w:spacing w:after="40" w:before="0" w:lineRule="auto"/>
        <w:rPr/>
      </w:pPr>
      <w:r w:rsidDel="00000000" w:rsidR="00000000" w:rsidRPr="00000000">
        <w:rPr>
          <w:rFonts w:ascii="Arial" w:cs="Arial" w:eastAsia="Arial" w:hAnsi="Arial"/>
          <w:b w:val="1"/>
          <w:bCs w:val="1"/>
          <w:sz w:val="18"/>
          <w:szCs w:val="18"/>
          <w:rtl w:val="0"/>
        </w:rPr>
        <w:t xml:space="preserve">Examples from this matrix:</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agent SHALL execute without a traceable human owner of record" (AOMC-1) — regardless of how identity is provisioned, every executing agent must map to an accountable human at all times.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"Prompt injection attempts MUST be detected and blocked, not just logged" (AOMC-3) — logging alone does not satisfy this invariant; the system must actively prevent the attack.</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"Lateral movement MUST be architecturally prevented via micro-segmentation" (AOMC-4) — compensating controls such as alerting do not satisfy this invariant; the architecture must make lateral movement structurally impossible.</w:t>
      </w:r>
      <w:r w:rsidDel="00000000" w:rsidR="00000000" w:rsidRPr="00000000">
        <w:rPr>
          <w:rtl w:val="0"/>
        </w:rPr>
      </w:r>
    </w:p>
    <w:p w:rsidR="00000000" w:rsidDel="00000000" w:rsidP="00000000" w:rsidRDefault="00000000" w:rsidRPr="00000000" w14:paraId="0000001A">
      <w:pPr>
        <w:spacing w:after="80" w:before="120" w:lineRule="auto"/>
        <w:rPr/>
      </w:pPr>
      <w:r w:rsidDel="00000000" w:rsidR="00000000" w:rsidRPr="00000000">
        <w:rPr>
          <w:rtl w:val="0"/>
        </w:rPr>
      </w:r>
    </w:p>
    <w:p w:rsidR="00000000" w:rsidDel="00000000" w:rsidP="00000000" w:rsidRDefault="00000000" w:rsidRPr="00000000" w14:paraId="0000001B">
      <w:pPr>
        <w:spacing w:after="80" w:before="0" w:lineRule="auto"/>
        <w:rPr>
          <w:rFonts w:ascii="Arial" w:cs="Arial" w:eastAsia="Arial" w:hAnsi="Arial"/>
          <w:b w:val="1"/>
          <w:bCs w:val="1"/>
          <w:color w:val="1b3a6b"/>
          <w:sz w:val="20"/>
          <w:szCs w:val="20"/>
        </w:rPr>
      </w:pPr>
      <w:r w:rsidDel="00000000" w:rsidR="00000000" w:rsidRPr="00000000">
        <w:rPr>
          <w:rFonts w:ascii="Arial" w:cs="Arial" w:eastAsia="Arial" w:hAnsi="Arial"/>
          <w:b w:val="1"/>
          <w:bCs w:val="1"/>
          <w:color w:val="1b3a6b"/>
          <w:sz w:val="20"/>
          <w:szCs w:val="20"/>
          <w:rtl w:val="0"/>
        </w:rPr>
        <w:t xml:space="preserve">Comparison at a Glance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00"/>
        <w:tblGridChange w:id="0">
          <w:tblGrid>
            <w:gridCol w:w="2200"/>
            <w:gridCol w:w="3400"/>
            <w:gridCol w:w="3400"/>
          </w:tblGrid>
        </w:tblGridChange>
      </w:tblGrid>
      <w:tr>
        <w:trPr>
          <w:cantSplit w:val="0"/>
          <w:tblHeader w:val="1"/>
        </w:trPr>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 </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Security Capability</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Security Invariant</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1b3a6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Nature</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Feature / function</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Condition / constraint</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1b3a6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8"/>
                <w:szCs w:val="18"/>
                <w:rtl w:val="0"/>
              </w:rPr>
              <w:t xml:space="preserve">Answers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“What can your system do?”</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“What can never be violated?”</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1b3a6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8"/>
                <w:szCs w:val="18"/>
                <w:rtl w:val="0"/>
              </w:rPr>
              <w:t xml:space="preserve">Evaluation</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Depth, coverage, quality of implementation</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Pass / fail — binary outcome only</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1b3a6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8"/>
                <w:szCs w:val="18"/>
                <w:rtl w:val="0"/>
              </w:rPr>
              <w:t xml:space="preserve">Partial credit</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Yes — a vendor may address some but not all</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No — the condition either holds or it does not</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1b3a6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8"/>
                <w:szCs w:val="18"/>
                <w:rtl w:val="0"/>
              </w:rPr>
              <w:t xml:space="preserve">Vendor flexibility</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High — many valid implementation paths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None — the required outcome is fixed</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1b3a6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8"/>
                <w:szCs w:val="18"/>
                <w:rtl w:val="0"/>
              </w:rPr>
              <w:t xml:space="preserve">Failure consequence</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Gap in coverage; noted in evaluation</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tcPr>
          <w:p w:rsidR="00000000" w:rsidDel="00000000" w:rsidP="00000000" w:rsidRDefault="00000000" w:rsidRPr="00000000" w14:paraId="00000030">
            <w:pPr>
              <w:rPr>
                <w:rFonts w:ascii="Arial" w:cs="Arial" w:eastAsia="Arial" w:hAnsi="Arial"/>
                <w:sz w:val="18"/>
                <w:szCs w:val="18"/>
              </w:rPr>
            </w:pPr>
            <w:r w:rsidDel="00000000" w:rsidR="00000000" w:rsidRPr="00000000">
              <w:rPr>
                <w:rFonts w:ascii="Arial" w:cs="Arial" w:eastAsia="Arial" w:hAnsi="Arial"/>
                <w:sz w:val="18"/>
                <w:szCs w:val="18"/>
                <w:rtl w:val="0"/>
              </w:rPr>
              <w:t xml:space="preserve">Control failure; automated remediation required</w:t>
            </w:r>
          </w:p>
        </w:tc>
      </w:tr>
    </w:tbl>
    <w:p w:rsidR="00000000" w:rsidDel="00000000" w:rsidP="00000000" w:rsidRDefault="00000000" w:rsidRPr="00000000" w14:paraId="00000031">
      <w:pPr>
        <w:spacing w:after="60" w:before="80" w:lineRule="auto"/>
        <w:rPr>
          <w:rFonts w:ascii="Arial" w:cs="Arial" w:eastAsia="Arial" w:hAnsi="Arial"/>
          <w:i w:val="1"/>
          <w:iCs w:val="1"/>
          <w:color w:val="444444"/>
          <w:sz w:val="17"/>
          <w:szCs w:val="17"/>
        </w:rPr>
      </w:pPr>
      <w:r w:rsidDel="00000000" w:rsidR="00000000" w:rsidRPr="00000000">
        <w:rPr>
          <w:rFonts w:ascii="Arial" w:cs="Arial" w:eastAsia="Arial" w:hAnsi="Arial"/>
          <w:i w:val="1"/>
          <w:iCs w:val="1"/>
          <w:color w:val="444444"/>
          <w:sz w:val="17"/>
          <w:szCs w:val="17"/>
          <w:rtl w:val="0"/>
        </w:rPr>
        <w:t xml:space="preserve">Important Note: A vendor may possess every listed capability and still violate an invariant. For example, a platform may have prompt injection detection (capability present) but be configured to log only rather than block (invariant broken). Capabilities describe what was built; invariants determine whether the enterprise is actually protected.</w:t>
      </w:r>
    </w:p>
    <w:p w:rsidR="00000000" w:rsidDel="00000000" w:rsidP="00000000" w:rsidRDefault="00000000" w:rsidRPr="00000000" w14:paraId="00000032">
      <w:pPr>
        <w:pBdr>
          <w:bottom w:color="2e6fad" w:space="4" w:sz="6" w:val="single"/>
        </w:pBdr>
        <w:spacing w:after="160" w:before="80" w:lineRule="auto"/>
        <w:rPr/>
      </w:pPr>
      <w:r w:rsidDel="00000000" w:rsidR="00000000" w:rsidRPr="00000000">
        <w:rPr>
          <w:rFonts w:ascii="Arial" w:cs="Arial" w:eastAsia="Arial" w:hAnsi="Arial"/>
          <w:b w:val="1"/>
          <w:bCs w:val="1"/>
          <w:color w:val="1b3a6b"/>
          <w:sz w:val="28"/>
          <w:szCs w:val="28"/>
          <w:rtl w:val="0"/>
        </w:rPr>
        <w:t xml:space="preserve">AOMC Controls — Vendor Capabilities Matrix</w:t>
      </w:r>
      <w:r w:rsidDel="00000000" w:rsidR="00000000" w:rsidRPr="00000000">
        <w:rPr>
          <w:rtl w:val="0"/>
        </w:rPr>
      </w:r>
    </w:p>
    <w:p w:rsidR="00000000" w:rsidDel="00000000" w:rsidP="00000000" w:rsidRDefault="00000000" w:rsidRPr="00000000" w14:paraId="00000033">
      <w:pPr>
        <w:spacing w:after="80" w:before="0" w:lineRule="auto"/>
        <w:rPr/>
      </w:pPr>
      <w:r w:rsidDel="00000000" w:rsidR="00000000" w:rsidRPr="00000000">
        <w:rPr>
          <w:rtl w:val="0"/>
        </w:rPr>
      </w:r>
    </w:p>
    <w:tbl>
      <w:tblPr>
        <w:tblStyle w:val="Table2"/>
        <w:tblW w:w="14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575"/>
        <w:gridCol w:w="2580"/>
        <w:gridCol w:w="2820"/>
        <w:gridCol w:w="3000"/>
        <w:gridCol w:w="3015"/>
        <w:tblGridChange w:id="0">
          <w:tblGrid>
            <w:gridCol w:w="1050"/>
            <w:gridCol w:w="1575"/>
            <w:gridCol w:w="2580"/>
            <w:gridCol w:w="2820"/>
            <w:gridCol w:w="3000"/>
            <w:gridCol w:w="3015"/>
          </w:tblGrid>
        </w:tblGridChange>
      </w:tblGrid>
      <w:tr>
        <w:trPr>
          <w:cantSplit w:val="0"/>
          <w:tblHeader w:val="1"/>
        </w:trPr>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AOMC #</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Control</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0"/>
                <w:szCs w:val="20"/>
                <w:rtl w:val="0"/>
              </w:rPr>
              <w:t xml:space="preserve">ONUG Mandate Summary</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0"/>
                <w:szCs w:val="20"/>
                <w:rtl w:val="0"/>
              </w:rPr>
              <w:t xml:space="preserve">Required Vendor Security Capabilities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NIST AI RMF Mapping</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1b3a6b" w:val="clear"/>
            <w:tcMar>
              <w:top w:w="100.0" w:type="dxa"/>
              <w:left w:w="120.0" w:type="dxa"/>
              <w:bottom w:w="10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Security Invariants</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1b3a6b"/>
                <w:sz w:val="18"/>
                <w:szCs w:val="18"/>
                <w:rtl w:val="0"/>
              </w:rPr>
              <w:t xml:space="preserve">AOMC-1</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rPr/>
            </w:pPr>
            <w:r w:rsidDel="00000000" w:rsidR="00000000" w:rsidRPr="00000000">
              <w:rPr>
                <w:rFonts w:ascii="Arial" w:cs="Arial" w:eastAsia="Arial" w:hAnsi="Arial"/>
                <w:b w:val="1"/>
                <w:bCs w:val="1"/>
                <w:color w:val="1b3a6b"/>
                <w:sz w:val="18"/>
                <w:szCs w:val="18"/>
                <w:rtl w:val="0"/>
              </w:rPr>
              <w:t xml:space="preserve">Agent Identity, Lifecycle &amp; Attestation (Non-Human Identity)</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spacing w:after="0" w:lineRule="auto"/>
              <w:rPr>
                <w:sz w:val="22"/>
                <w:szCs w:val="22"/>
              </w:rPr>
            </w:pPr>
            <w:r w:rsidDel="00000000" w:rsidR="00000000" w:rsidRPr="00000000">
              <w:rPr>
                <w:rFonts w:ascii="Arial" w:cs="Arial" w:eastAsia="Arial" w:hAnsi="Arial"/>
                <w:i w:val="1"/>
                <w:iCs w:val="1"/>
                <w:sz w:val="19"/>
                <w:szCs w:val="19"/>
                <w:rtl w:val="0"/>
              </w:rPr>
              <w:t xml:space="preserve">Cryptographic agent identity independent of human identity; covers agent creation, delegation, mutation, and retirement within a single enterprise-controlled trust domain. Mutual authentication for all agent-to-agent communications.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Cryptographic agent identity provisioning (X.509 / SPIFFE/SPIRE or equivalent)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 lifecycle management: register, attest, rotate credentials, decommission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Non-human identity (NHI) separation from human IAM</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Mutual TLS / mTLS for agent-to-agent communication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Delegation chain integrity: track parent to child agent spawning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Short-lived credential issuance with automated rotation (&lt; 24 hr TTL)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Attestation of agent state at creation and on mutation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Audit log: every identity event (create, authenticate, retire) immutable and time-stamped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Integration with enterprise PKI / CA infrastructure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Support SPIFFE Workload API or equivalent for runtime attestation</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1.1 — Policies and accountability structures established for AI risk, including NHI roles and ownership</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1.2 — Organizational roles and responsibilities defined for AI actor accountability across the agent lifecycle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6.1 — Policies enforced for third-party and supply chain AI actors; applies to provisioned agent identities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1.5 — Organizational risk tolerances documented; NHI credential TTL and attestation requirements are a risk tolerance decision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3.1 — AI system components, dependencies, and data flows identified; agent identity registry is a required artifact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2.5 — AI system trustworthiness evaluated; cryptographic identity is a foundational trustworthiness property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1.3 — Response plans include procedures for agent credential revocation and decommissioning</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agent MUST possess a unique, cryptographically verifiable identity before execution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Credential TTL MUST NOT exceed enterprise policy maximum (default: 24 hr)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agent SHALL execute without a traceable human owner of record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 mutation (new capability/tool scope) MUST trigger re-attestation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Retired agents MUST be immediately revoked and MUST NOT re-authenticate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identity events MUST be immutably logged and tamper-evident</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1b3a6b"/>
                <w:sz w:val="18"/>
                <w:szCs w:val="18"/>
                <w:rtl w:val="0"/>
              </w:rPr>
              <w:t xml:space="preserve">AOMC-2</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1"/>
                <w:bCs w:val="1"/>
                <w:color w:val="1b3a6b"/>
                <w:sz w:val="18"/>
                <w:szCs w:val="18"/>
                <w:rtl w:val="0"/>
              </w:rPr>
              <w:t xml:space="preserve">Runtime Monitoring &amp; Rogue Agent Detection</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56">
            <w:pPr>
              <w:spacing w:after="0" w:lineRule="auto"/>
              <w:rPr>
                <w:sz w:val="22"/>
                <w:szCs w:val="22"/>
              </w:rPr>
            </w:pPr>
            <w:r w:rsidDel="00000000" w:rsidR="00000000" w:rsidRPr="00000000">
              <w:rPr>
                <w:rFonts w:ascii="Arial" w:cs="Arial" w:eastAsia="Arial" w:hAnsi="Arial"/>
                <w:i w:val="1"/>
                <w:iCs w:val="1"/>
                <w:sz w:val="19"/>
                <w:szCs w:val="19"/>
                <w:rtl w:val="0"/>
              </w:rPr>
              <w:t xml:space="preserve">Continuous runtime monitoring and dynamic security controls to detect and respond to anomalous agent behavior — including deviations from declared objectives, authorized tool usage, and expected execution patterns. Analogous to container/workload runtime protection.</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Continuous behavioral baseline profiling per agent identity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Real-time anomaly detection: API call rate, tool invocation sequence, resource access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Deviation alerting from declared objectives and authorized tool set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Automated response: suspend, quarantine, or kill anomalous agent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Intent-break detection: agent acting outside its stated purpose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Emergent behavior analytics across agent mesh (multi-agent collusion detection)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eBPF / kernel-level telemetry or equivalent for low-level execution visibility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Integration with SIEM/SOAR for incident escalation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Human-override / kill-switch with SLA-bound response time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Forensic capture: reproducible execution trace for post-incident analysis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1.4 — Organizational teams empowered to raise concerns about AI system behavior; escalation paths defined for anomaly alerts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2.6 — AI system behavior monitored in deployment; behavioral drift and rogue execution are measurable risk indicators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2.7 — AI system performance evaluated over time; runtime baselines established and deviation thresholds defined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2.8 — Risks from real-world deployment monitored on an ongoing basis, including emergent or unintended behaviors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2.4 — Mechanisms in place to detect and respond to AI failures, including automated containment and quarantine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3.2 — Residual risks accepted or escalated based on runtime observations; kill-switch operationalizes risk response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4.1 — Incident response plans activated when anomalous AI behavior detected; forensic evidence preserved</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agent execution MUST be observable in real-time with latency at or below policy threshold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Anomaly detection MUST cover tool invocation, API call patterns, and resource consumption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kill-switch MUST be operable within a defined SLA (e.g., 30 seconds or less)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Intent-break events MUST generate an alert and initiate automated containment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agent SHALL be exempt from runtime monitoring, regardless of privilege level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behavioral events MUST be retained for forensic replay for a minimum of 90 days</w:t>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1b3a6b"/>
                <w:sz w:val="18"/>
                <w:szCs w:val="18"/>
                <w:rtl w:val="0"/>
              </w:rPr>
              <w:t xml:space="preserve">AOMC-3</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1"/>
                <w:bCs w:val="1"/>
                <w:color w:val="1b3a6b"/>
                <w:sz w:val="18"/>
                <w:szCs w:val="18"/>
                <w:rtl w:val="0"/>
              </w:rPr>
              <w:t xml:space="preserve">Data Guardrails (Input, Output &amp; Residency Enforcement)</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after="0" w:lineRule="auto"/>
              <w:rPr>
                <w:sz w:val="22"/>
                <w:szCs w:val="22"/>
              </w:rPr>
            </w:pPr>
            <w:r w:rsidDel="00000000" w:rsidR="00000000" w:rsidRPr="00000000">
              <w:rPr>
                <w:rFonts w:ascii="Arial" w:cs="Arial" w:eastAsia="Arial" w:hAnsi="Arial"/>
                <w:i w:val="1"/>
                <w:iCs w:val="1"/>
                <w:sz w:val="19"/>
                <w:szCs w:val="19"/>
                <w:rtl w:val="0"/>
              </w:rPr>
              <w:t xml:space="preserve">Strict data guardrails ensuring no sensitive enterprise data leaves organizational control. Validation, inspection, and enforcement for all data and prompts entering or leaving the system — preventing prompt injection, leakage of PII/IP/regulated data, and unauthorized external data flows.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Prompt inspection and sanitization at ingress (DLP for prompts)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content scanning and classification before delivery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PII, PHI, PCI, and IP detection with configurable blocking/redaction policies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residency enforcement: restrict data to approved geo/cloud zones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Prompt injection detection (direct and indirect)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Sensitive data exfiltration prevention via agent tool calls and API outputs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Tokenization / masking for regulated data in agent memory/context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Policy-based allow/deny for data leaving organizational boundaries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Audit trail: every data-in/data-out event with classification label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Integration with enterprise DLP and CASB solutions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1.7 — Processes established for transparency and accountability in AI data use; data flow policies documented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1.6 — Requirements for privacy and data governance identified as part of AI system context-of-use mapping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5.1 — Likelihood and magnitude of data-related AI risks estimated; prompt injection and exfiltration are high-likelihood, high-impact risks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2.10 — Privacy risks evaluated for AI systems; input/output inspection is a required privacy control</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2.13 — Effectiveness of data-related risk controls evaluated and tested on a regular basis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1.1 — Risk response plans include data guardrail enforcement actions (block, redact, alert, quarantine)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2.2 — Mechanisms to address data governance failures operationalized; audit trail supports accountability and regulatory response</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agent inputs and outputs MUST pass through an inspection layer before action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Regulated data (PII, PHI, PCI, IP) MUST be detected and blocked/redacted per policy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MUST NOT cross residency boundaries without explicit policy authorization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Prompt injection attempts MUST be detected and blocked, not just logged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data exfiltration event MUST generate an immutable, attributable audit record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Guardrail policies MUST be versioned and changes MUST require authorized approval</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1b3a6b"/>
                <w:sz w:val="18"/>
                <w:szCs w:val="18"/>
                <w:rtl w:val="0"/>
              </w:rPr>
              <w:t xml:space="preserve">AOMC-4</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1"/>
                <w:bCs w:val="1"/>
                <w:color w:val="1b3a6b"/>
                <w:sz w:val="18"/>
                <w:szCs w:val="18"/>
                <w:rtl w:val="0"/>
              </w:rPr>
              <w:t xml:space="preserve">Zero Trust Enforcement (Enterprise-Controlled Domains + Cross-Boundary)</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8A">
            <w:pPr>
              <w:spacing w:after="0" w:lineRule="auto"/>
              <w:rPr>
                <w:sz w:val="22"/>
                <w:szCs w:val="22"/>
              </w:rPr>
            </w:pPr>
            <w:r w:rsidDel="00000000" w:rsidR="00000000" w:rsidRPr="00000000">
              <w:rPr>
                <w:rFonts w:ascii="Arial" w:cs="Arial" w:eastAsia="Arial" w:hAnsi="Arial"/>
                <w:i w:val="1"/>
                <w:iCs w:val="1"/>
                <w:sz w:val="19"/>
                <w:szCs w:val="19"/>
                <w:rtl w:val="0"/>
              </w:rPr>
              <w:t xml:space="preserve">Zero Trust principles enforced by default across network, identity, and runtime layers within enterprise-controlled domains. Continuous verification of identity, context, and policy before any communication or execution. For cross-domain/partner environments: encrypted comms, explicit authorization boundaries, and auditable access controls.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Identity-verified, context-aware access for every agent request (no implicit trust)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Micro-segmentation of agent workloads: prevent lateral movement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Continuous session re-validation (not just at initial auth)</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Policy-driven authorization for agent-to-service and agent-to-agent calls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Encrypted communications (TLS 1.3+) for all agent traffic in transit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Encrypted storage for agent state, memory, and context data at rest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RBAC / ABAC enforcement with least-privilege scoping per agent task</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Cross-domain federation: explicit trust negotiation with partner environments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Runtime risk signals fed into policy decisions (adaptive / risk-based access)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audit log of all access decisions with policy version reference</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1.1 — Policies established for acceptable AI system use; Zero Trust access policies are a governing control</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6.2 — Continuous monitoring processes established for AI systems deployed across trust domains, including partner environments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1.5 — Organizational risk tolerances inform the strictness of Zero Trust policy enforcement thresholds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3.5 — Risks associated with AI system integration with external systems and partners identified and documented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2.6 — AI system behavior in deployment monitored; access decision logs are a primary measurement artifact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2.9 — Privacy and security controls tested for effectiveness; micro-segmentation and encryption are testable controls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1.3 — Response plans include procedures for isolating compromised agents and revoking cross-domain access grants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agent SHALL communicate or execute without explicit, policy-verified authorization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Trust MUST be continuously re-evaluated; session tokens MUST expire on risk change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inter-agent and agent-to-service traffic MUST be encrypted (TLS 1.3+)</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 permissions MUST be scoped to the minimum required for the specific task</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Lateral movement MUST be architecturally prevented via micro-segmentation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Cross-domain interactions MUST require explicit federation agreement and audit trail</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1b3a6b"/>
                <w:sz w:val="18"/>
                <w:szCs w:val="18"/>
                <w:rtl w:val="0"/>
              </w:rPr>
              <w:t xml:space="preserve">AOMC-5</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1"/>
                <w:bCs w:val="1"/>
                <w:color w:val="1b3a6b"/>
                <w:sz w:val="18"/>
                <w:szCs w:val="18"/>
                <w:rtl w:val="0"/>
              </w:rPr>
              <w:t xml:space="preserve">Secure Orchestration &amp; Tool Authorization</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after="0" w:lineRule="auto"/>
              <w:rPr>
                <w:sz w:val="22"/>
                <w:szCs w:val="22"/>
              </w:rPr>
            </w:pPr>
            <w:r w:rsidDel="00000000" w:rsidR="00000000" w:rsidRPr="00000000">
              <w:rPr>
                <w:rFonts w:ascii="Arial" w:cs="Arial" w:eastAsia="Arial" w:hAnsi="Arial"/>
                <w:i w:val="1"/>
                <w:iCs w:val="1"/>
                <w:sz w:val="19"/>
                <w:szCs w:val="19"/>
                <w:rtl w:val="0"/>
              </w:rPr>
              <w:t xml:space="preserve">Policy-driven authorization for all agent tool invocation and orchestration actions. Agents cannot perform high-privilege actions across trust/admin domains without explicit authentication, policy-based authorization, and full audit logging. Must support fully automated, policy-driven enforcement without requiring default human-in-the-loop.</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Tool/API registry with approved tool catalog per agent role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Policy engine: allow/deny/require-approval for each tool invocation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Automated policy enforcement without mandatory human-in-loop (configurable per risk tier)</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High-privilege action gating: explicit auth required for elevated operations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MCP server verification and server-to-server trust validation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Orchestration graph integrity: detect unexpected agent spawning or delegation chains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Tool call audit log: every invocation with parameters, outcome, and authorization proof</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Rate limiting and concurrency controls per agent and tool</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Rollback / compensating transaction support for reversible actions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Cross-domain tool call enforcement: explicit policy for inter-org tool access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1.2 — Roles and responsibilities defined for AI actor accountability; tool authorization policies require designated owners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1.6 — Policies require human consideration for high-impact AI actions; high-privilege tool gating implements this control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2.3 — Scientific and technical knowledge used to identify tool misuse and orchestration abuse as foreseeable AI risks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5.2 — Residual risk from automated tool execution estimated; risk-tiered approval thresholds calibrated accordingly</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2.5 — Trustworthiness of AI system components evaluated; MCP server verification is a supply chain trustworthiness check</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2.2 — Mechanisms operationalized to address AI system failures; tool call audit log is the primary accountability artifact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4.2 — Incidents and near-misses documented; unauthorized tool invocation attempts captured for organizational learning</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tool invocation MUST be authorized by policy prior to execution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agent SHALL invoke a tool outside its registered, approved tool catalog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High-privilege tool calls (write, delete, escalate) MUST require step-up authentication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tool invocations MUST produce an immutable, attributable audit record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MCP servers MUST be verified and inventoried; unverified servers MUST be blocked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Orchestration chains MUST be traceable end-to-end; unexpected delegation MUST alert</w:t>
            </w:r>
            <w:r w:rsidDel="00000000" w:rsidR="00000000" w:rsidRPr="00000000">
              <w:rPr>
                <w:rtl w:val="0"/>
              </w:rPr>
            </w:r>
          </w:p>
        </w:tc>
      </w:tr>
      <w:tr>
        <w:trPr>
          <w:cantSplit w:val="0"/>
          <w:tblHeader w:val="0"/>
        </w:trPr>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1b3a6b"/>
                <w:sz w:val="18"/>
                <w:szCs w:val="18"/>
                <w:rtl w:val="0"/>
              </w:rPr>
              <w:t xml:space="preserve">AOMC-6</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BD">
            <w:pPr>
              <w:rPr/>
            </w:pPr>
            <w:r w:rsidDel="00000000" w:rsidR="00000000" w:rsidRPr="00000000">
              <w:rPr>
                <w:rFonts w:ascii="Arial" w:cs="Arial" w:eastAsia="Arial" w:hAnsi="Arial"/>
                <w:b w:val="1"/>
                <w:bCs w:val="1"/>
                <w:color w:val="1b3a6b"/>
                <w:sz w:val="18"/>
                <w:szCs w:val="18"/>
                <w:rtl w:val="0"/>
              </w:rPr>
              <w:t xml:space="preserve">Governance of Agent Autonomy</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BE">
            <w:pPr>
              <w:spacing w:after="0" w:lineRule="auto"/>
              <w:rPr>
                <w:sz w:val="22"/>
                <w:szCs w:val="22"/>
              </w:rPr>
            </w:pPr>
            <w:r w:rsidDel="00000000" w:rsidR="00000000" w:rsidRPr="00000000">
              <w:rPr>
                <w:rFonts w:ascii="Arial" w:cs="Arial" w:eastAsia="Arial" w:hAnsi="Arial"/>
                <w:i w:val="1"/>
                <w:iCs w:val="1"/>
                <w:sz w:val="19"/>
                <w:szCs w:val="19"/>
                <w:rtl w:val="0"/>
              </w:rPr>
              <w:t xml:space="preserve">Policy-driven governance over agent autonomy levels — defining, constraining, and dynamically adjusting how independently an agent may plan, decide, and act. Covers fully autonomous execution, supervised/policy-constrained autonomy, and human-approved (HITL) operations. Includes mandatory human-override capabilities.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Autonomy tier classification per agent: full-auto, supervised, HITL-required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Dynamic autonomy adjustment based on risk signals or context change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Human-in-the-loop (HITL) workflow integration with SLA-bound approval gates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Kill-switch and emergency override accessible to authorized operators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Policy versioning and approval workflow for autonomy tier changes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 scope boundary enforcement: prevent autonomous action outside defined domain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Explainability outputs: agent must produce rationale for autonomous decisions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Audit log: all autonomy-tier transitions and human override events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Graduated rollout controls: canary/staged deployment with autonomy limits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Compliance mapping: autonomy policies tied to regulatory and ethical frameworks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1.1 — Organizational policies define acceptable levels of AI autonomy; autonomy tiers are a direct policy expression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1.3 — Organizational culture and accountability structures support human oversight; HITL and kill-switch requirements derive from this function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1.6 — Policies require meaningful human consideration for consequential AI decisions; autonomy tier assignment implements this requirement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 1.7 — Transparency and explainability requirements established; autonomous decision rationale logs satisfy this governance obligation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1.1 — Context of use documented for each AI system deployment; autonomy tier must be explicitly recorded as a context-of-use parameter</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 1.5 — Risk tolerances inform the boundaries of permissible autonomous action; tier thresholds are a risk tolerance operationalization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2.6 — Deployed AI system behavior monitored; autonomy-tier violations and override events are primary measurement signals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2.4 — Human oversight mechanisms maintained over AI operations; HITL gates and kill-switch are the primary management controls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4.1 — Incident response plans cover autonomous AI failures; override events trigger documented response procedures</w:t>
            </w:r>
            <w:r w:rsidDel="00000000" w:rsidR="00000000" w:rsidRPr="00000000">
              <w:rPr>
                <w:rtl w:val="0"/>
              </w:rPr>
            </w:r>
          </w:p>
        </w:tc>
        <w:tc>
          <w:tcPr>
            <w:tcBorders>
              <w:top w:color="a0b8d0" w:space="0" w:sz="4" w:val="single"/>
              <w:left w:color="a0b8d0" w:space="0" w:sz="4" w:val="single"/>
              <w:bottom w:color="a0b8d0" w:space="0" w:sz="4" w:val="single"/>
              <w:right w:color="a0b8d0"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agent MUST be assigned an explicit autonomy tier before deployment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Autonomous action beyond the assigned tier MUST be blocked, not just flagged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human-accessible override / kill-switch MUST be available at all times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Autonomy tier escalation MUST require authorized human approval</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Agent decisions in autonomous mode MUST produce an explainable rationale log</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Autonomy governance policies MUST be versioned and auditable over time</w:t>
            </w:r>
            <w:r w:rsidDel="00000000" w:rsidR="00000000" w:rsidRPr="00000000">
              <w:rPr>
                <w:rtl w:val="0"/>
              </w:rPr>
            </w:r>
          </w:p>
        </w:tc>
      </w:tr>
    </w:tbl>
    <w:p w:rsidR="00000000" w:rsidDel="00000000" w:rsidP="00000000" w:rsidRDefault="00000000" w:rsidRPr="00000000" w14:paraId="000000D8">
      <w:pPr>
        <w:pBdr>
          <w:top w:color="aaaaaa" w:space="4" w:sz="4" w:val="single"/>
        </w:pBdr>
        <w:spacing w:after="0" w:before="200" w:lineRule="auto"/>
        <w:rPr/>
      </w:pPr>
      <w:r w:rsidDel="00000000" w:rsidR="00000000" w:rsidRPr="00000000">
        <w:rPr>
          <w:rFonts w:ascii="Arial" w:cs="Arial" w:eastAsia="Arial" w:hAnsi="Arial"/>
          <w:i w:val="1"/>
          <w:iCs w:val="1"/>
          <w:color w:val="555555"/>
          <w:sz w:val="16"/>
          <w:szCs w:val="16"/>
          <w:rtl w:val="0"/>
        </w:rPr>
        <w:t xml:space="preserve">Security Invariants Definition: An invariant is a condition that MUST hold true at all times during agent operation. Violation of any invariant constitutes a control failure and MUST trigger automated remediation. Vendors are expected to demonstrate how their platform enforces each applicable invariant during the ONUG Agentic Challenge demonstration.  |  NIST AI RMF 1.0 reference: doi.org/10.6028/NIST.AI.100-1</w:t>
      </w:r>
      <w:r w:rsidDel="00000000" w:rsidR="00000000" w:rsidRPr="00000000">
        <w:rPr>
          <w:rtl w:val="0"/>
        </w:rPr>
      </w:r>
    </w:p>
    <w:sectPr>
      <w:pgSz w:h="12240" w:w="15840" w:orient="landscape"/>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