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2800"/>
      </w:pPr>
    </w:p>
    <w:p>
      <w:pPr>
        <w:jc w:val="center"/>
        <w:spacing w:after="80"/>
      </w:pPr>
      <w:r>
        <w:rPr>
          <w:rFonts w:ascii="Calibri" w:hAnsi="Calibri"/>
          <w:sz w:val="26"/>
          <w:color w:val="E8871E"/>
          <w:b/>
        </w:rPr>
        <w:t xml:space="preserve">ECOSISTEMAIA</w:t>
      </w:r>
    </w:p>
    <w:p>
      <w:pPr>
        <w:jc w:val="center"/>
        <w:spacing w:after="120"/>
      </w:pPr>
      <w:r>
        <w:rPr>
          <w:rFonts w:ascii="Calibri" w:hAnsi="Calibri"/>
          <w:sz w:val="60"/>
          <w:color w:val="171B21"/>
          <w:b/>
        </w:rPr>
        <w:t xml:space="preserve">Documento Funcional</w:t>
      </w:r>
    </w:p>
    <w:p>
      <w:pPr>
        <w:jc w:val="center"/>
        <w:spacing w:after="1800"/>
      </w:pPr>
      <w:r>
        <w:rPr>
          <w:rFonts w:ascii="Calibri" w:hAnsi="Calibri"/>
          <w:sz w:val="30"/>
          <w:color w:val="2F4858"/>
        </w:rPr>
        <w:t xml:space="preserve">Asistente Conversacional de Datos</w:t>
      </w:r>
    </w:p>
    <w:p>
      <w:pPr>
        <w:jc w:val="center"/>
        <w:spacing w:after="80"/>
      </w:pPr>
      <w:r>
        <w:rPr>
          <w:rFonts w:ascii="Calibri" w:hAnsi="Calibri"/>
          <w:sz w:val="24"/>
          <w:color w:val="4B5560"/>
        </w:rPr>
        <w:t xml:space="preserve">MT Industrial · Área de TI</w:t>
      </w:r>
    </w:p>
    <w:p>
      <w:pPr>
        <w:jc w:val="center"/>
        <w:spacing w:after="80"/>
      </w:pPr>
      <w:r>
        <w:rPr>
          <w:rFonts w:ascii="Calibri" w:hAnsi="Calibri"/>
          <w:sz w:val="22"/>
          <w:color w:val="4B5560"/>
        </w:rPr>
        <w:t xml:space="preserve">Preparado por: Oscar Núñez  ·  Para: Manuel Calderón (Jefe de TI)</w:t>
      </w:r>
    </w:p>
    <w:p>
      <w:pPr>
        <w:jc w:val="center"/>
        <w:spacing w:after="120"/>
      </w:pPr>
      <w:r>
        <w:rPr>
          <w:rFonts w:ascii="Calibri" w:hAnsi="Calibri"/>
          <w:sz w:val="22"/>
          <w:color w:val="4B5560"/>
        </w:rPr>
        <w:t xml:space="preserve">Agosto 2026</w:t>
      </w:r>
    </w:p>
    <w:p>
      <w:r>
        <w:br w:type="page"/>
      </w:r>
    </w:p>
    <w:bookmarkStart w:id="42" w:name="documento-funcional"/>
    <w:p>
      <w:pPr>
        <w:pStyle w:val="Heading1"/>
      </w:pPr>
      <w:r>
        <w:t xml:space="preserve">Documento Funcional</w:t>
      </w:r>
    </w:p>
    <w:bookmarkStart w:id="20" w:name="X0c7a6df7f3234fdc142bd563b1aadc02944e435"/>
    <w:p>
      <w:pPr>
        <w:pStyle w:val="Heading3"/>
      </w:pPr>
      <w:r>
        <w:t xml:space="preserve">Asistente Conversacional de Datos — EcosistemaIA</w:t>
      </w:r>
    </w:p>
    <w:p>
      <w:pPr>
        <w:pStyle w:val="FirstParagraph"/>
      </w:pPr>
      <w:r>
        <w:rPr>
          <w:bCs/>
          <w:b/>
        </w:rPr>
        <w:t xml:space="preserve">MT Industrial · Área de TI</w:t>
      </w:r>
      <w:r>
        <w:t xml:space="preserve"> </w:t>
      </w:r>
      <w:r>
        <w:rPr>
          <w:bCs/>
          <w:b/>
        </w:rPr>
        <w:t xml:space="preserve">Preparado por:</w:t>
      </w:r>
      <w:r>
        <w:t xml:space="preserve"> </w:t>
      </w:r>
      <w:r>
        <w:t xml:space="preserve">Oscar Núñez ·</w:t>
      </w:r>
      <w:r>
        <w:t xml:space="preserve"> </w:t>
      </w:r>
      <w:r>
        <w:rPr>
          <w:bCs/>
          <w:b/>
        </w:rPr>
        <w:t xml:space="preserve">Para:</w:t>
      </w:r>
      <w:r>
        <w:t xml:space="preserve"> </w:t>
      </w:r>
      <w:r>
        <w:t xml:space="preserve">Manuel Calderón (Jefe de TI)</w:t>
      </w:r>
      <w:r>
        <w:t xml:space="preserve"> </w:t>
      </w:r>
      <w:r>
        <w:rPr>
          <w:bCs/>
          <w:b/>
        </w:rPr>
        <w:t xml:space="preserve">Referencia:</w:t>
      </w:r>
      <w:r>
        <w:t xml:space="preserve"> </w:t>
      </w:r>
      <w:r>
        <w:t xml:space="preserve">Complementa la Propuesta Macro (OPEX/CAPEX/ROI) y la Matriz de Acceso a Datos por Rol</w:t>
      </w:r>
    </w:p>
    <w:p>
      <w:r>
        <w:pict>
          <v:rect style="width:0;height:1.5pt" o:hralign="center" o:hrstd="t" o:hr="t"/>
        </w:pict>
      </w:r>
    </w:p>
    <w:bookmarkEnd w:id="20"/>
    <w:bookmarkStart w:id="21" w:name="objetivo-del-documento"/>
    <w:p>
      <w:pPr>
        <w:pStyle w:val="Heading2"/>
      </w:pPr>
      <w:r>
        <w:t xml:space="preserve">1. Objetivo del documento</w:t>
      </w:r>
    </w:p>
    <w:p>
      <w:pPr>
        <w:pStyle w:val="FirstParagraph"/>
      </w:pPr>
      <w:r>
        <w:t xml:space="preserve">Este documento traduce la propuesta macro en requerimientos concretos que el equipo de desarrollo pueda construir y validar. Define</w:t>
      </w:r>
      <w:r>
        <w:t xml:space="preserve"> </w:t>
      </w:r>
      <w:r>
        <w:rPr>
          <w:bCs/>
          <w:b/>
        </w:rPr>
        <w:t xml:space="preserve">qué debe hacer el sistema</w:t>
      </w:r>
      <w:r>
        <w:t xml:space="preserve"> </w:t>
      </w:r>
      <w:r>
        <w:t xml:space="preserve">(requerimientos funcionales),</w:t>
      </w:r>
      <w:r>
        <w:t xml:space="preserve"> </w:t>
      </w:r>
      <w:r>
        <w:rPr>
          <w:bCs/>
          <w:b/>
        </w:rPr>
        <w:t xml:space="preserve">cómo debe comportarse</w:t>
      </w:r>
      <w:r>
        <w:t xml:space="preserve"> </w:t>
      </w:r>
      <w:r>
        <w:t xml:space="preserve">(requerimientos no funcionales), y</w:t>
      </w:r>
      <w:r>
        <w:t xml:space="preserve"> </w:t>
      </w:r>
      <w:r>
        <w:rPr>
          <w:bCs/>
          <w:b/>
        </w:rPr>
        <w:t xml:space="preserve">bajo qué reglas de negocio</w:t>
      </w:r>
      <w:r>
        <w:t xml:space="preserve"> </w:t>
      </w:r>
      <w:r>
        <w:t xml:space="preserve">opera — en particular las relacionadas a permisos por rol, dado que este sistema tocará información altamente sensible (RRHH, Legal, Finanzas).</w:t>
      </w:r>
    </w:p>
    <w:p>
      <w:pPr>
        <w:pStyle w:val="BodyText"/>
      </w:pPr>
      <w:r>
        <w:t xml:space="preserve">No define diseño técnico detallado (esquemas de base de datos, contratos de API) — eso corresponde a la etapa de diseño técnico, posterior a la validación de este documento.</w:t>
      </w:r>
    </w:p>
    <w:bookmarkEnd w:id="21"/>
    <w:bookmarkStart w:id="22" w:name="alcance-funcional-por-fase"/>
    <w:p>
      <w:pPr>
        <w:pStyle w:val="Heading2"/>
      </w:pPr>
      <w:r>
        <w:t xml:space="preserve">2. Alcance funcional por fase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171B2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Fase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171B2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Alcance funcional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Fase 0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Consulta directa de ventas, inventario y NPS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Fase 1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Servicio técnico, finanzas, proyecciones simples (ventas/compras)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Fase 1.5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Generación de documentos (PPT/Excel/diagramas), investigación externa (competencia)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Fase 1.75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Consulta de documentación institucional (políticas, procedimientos, manuales)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Fase 2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RRHH y Legal — condicionado a validación legal previa</w:t>
            </w:r>
          </w:p>
        </w:tc>
      </w:tr>
    </w:tbl>
    <w:p>
      <w:pPr>
        <w:pStyle w:val="BodyText"/>
      </w:pPr>
      <w:r>
        <w:t xml:space="preserve">Este documento cubre los requerimientos de</w:t>
      </w:r>
      <w:r>
        <w:t xml:space="preserve"> </w:t>
      </w:r>
      <w:r>
        <w:rPr>
          <w:bCs/>
          <w:b/>
        </w:rPr>
        <w:t xml:space="preserve">todas las fases</w:t>
      </w:r>
      <w:r>
        <w:t xml:space="preserve">, marcando en cada requerimiento a qué fase aplica, para que el desarrollo pueda priorizarse en el mismo orden que la propuesta macro.</w:t>
      </w:r>
    </w:p>
    <w:bookmarkEnd w:id="22"/>
    <w:bookmarkStart w:id="23" w:name="actores-y-roles"/>
    <w:p>
      <w:pPr>
        <w:pStyle w:val="Heading2"/>
      </w:pPr>
      <w:r>
        <w:t xml:space="preserve">3. Actores y roles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171B2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Actor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171B2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Descripción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Usuario solicitante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Cualquier empleado de MT Industrial, de cualquiera de las 7 gerencias. Accede vía web, Teams o app interna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Administrador de permisos (TI)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Configura qué rol accede a qué dominio de dato, según la Matriz de Acceso. No tiene acceso de contenido a RRHH/Legal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Dueño de dominio de datos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Responsable funcional de un dominio (ej. Andrea Cárdenas para RRHH, Renato Saldaña para Legal). Aprueba qué información de su dominio queda disponible para la IA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Orquestador de IA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Componente del sistema que interpreta la pregunta, valida el rol, decide qué herramienta(s) llamar y redacta la respuesta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Corporate RAG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Capa que ejecuta las consultas reales contra las fuentes de datos (SQL central, SAP C4C/FSM, RRHH, Legal, SharePoint)</w:t>
            </w:r>
          </w:p>
        </w:tc>
      </w:tr>
    </w:tbl>
    <w:bookmarkEnd w:id="23"/>
    <w:bookmarkStart w:id="32" w:name="requerimientos-funcionales"/>
    <w:p>
      <w:pPr>
        <w:pStyle w:val="Heading2"/>
      </w:pPr>
      <w:r>
        <w:t xml:space="preserve">4. Requerimientos funcionales</w:t>
      </w:r>
    </w:p>
    <w:bookmarkStart w:id="24" w:name="autenticación-y-acceso-fase-0"/>
    <w:p>
      <w:pPr>
        <w:pStyle w:val="Heading3"/>
      </w:pPr>
      <w:r>
        <w:t xml:space="preserve">4.1 Autenticación y acceso (Fase 0)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171B2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ID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171B2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Requerimiento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RF-001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El sistema debe autenticar al usuario mediante Microsoft Entra ID (SSO), sin credenciales propias del sistema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RF-002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El sistema debe identificar el rol del usuario autenticado según su posición en el organigrama vigente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RF-003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El sistema debe rechazar cualquier consulta si el usuario no está autenticado</w:t>
            </w:r>
          </w:p>
        </w:tc>
      </w:tr>
    </w:tbl>
    <w:bookmarkEnd w:id="24"/>
    <w:bookmarkStart w:id="25" w:name="consulta-e-interpretación-fase-0"/>
    <w:p>
      <w:pPr>
        <w:pStyle w:val="Heading3"/>
      </w:pPr>
      <w:r>
        <w:t xml:space="preserve">4.2 Consulta e interpretación (Fase 0)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171B2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ID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171B2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Requerimiento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RF-010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El sistema debe aceptar preguntas en lenguaje natural en español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RF-011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El sistema debe interpretar la intención de la pregunta y determinar qué dominio(s) de dato debe consultar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RF-012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El sistema debe validar, antes de ejecutar cualquier consulta, que el rol del usuario tiene permiso sobre el dominio solicitado, según la Matriz de Acceso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RF-013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Si el usuario no tiene permiso, el sistema debe informarlo explícitamente, sin revelar el dato ni insinuar su contenido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RF-014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El sistema debe ejecutar la consulta real contra la fuente correspondiente (Corporate RAG) — nunca debe generar una respuesta sin haber consultado la fuente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RF-015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El sistema debe citar la fuente del dato en toda respuesta (ej.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según el SQL central, módulo Ventas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)</w:t>
            </w:r>
          </w:p>
        </w:tc>
      </w:tr>
    </w:tbl>
    <w:bookmarkEnd w:id="25"/>
    <w:bookmarkStart w:id="26" w:name="proyecciones-y-estimaciones-fase-1"/>
    <w:p>
      <w:pPr>
        <w:pStyle w:val="Heading3"/>
      </w:pPr>
      <w:r>
        <w:t xml:space="preserve">4.3 Proyecciones y estimaciones (Fase 1)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171B2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ID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171B2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Requerimiento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RF-020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El sistema debe distinguir entre una consulta de dato existente y una solicitud de proyección/estimación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RF-021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Toda respuesta que contenga una proyección debe incluir explícitamente un aviso de que es una estimación, no un dato oficial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RF-022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La proyección de compras debe usar como insumo la proyección de ventas correspondiente, no calcularse de forma independiente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RF-023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La proyección de ventas debe considerar variables externas relevantes cuando estén disponibles (ej. clima)</w:t>
            </w:r>
          </w:p>
        </w:tc>
      </w:tr>
    </w:tbl>
    <w:bookmarkEnd w:id="26"/>
    <w:bookmarkStart w:id="27" w:name="investigación-externa-fase-1.5"/>
    <w:p>
      <w:pPr>
        <w:pStyle w:val="Heading3"/>
      </w:pPr>
      <w:r>
        <w:t xml:space="preserve">4.4 Investigación externa (Fase 1.5)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171B2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ID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171B2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Requerimiento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RF-030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El sistema debe distinguir una consulta de dato interno de una de investigación externa (ej. competencia, noticias de mercado)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RF-031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Toda respuesta basada en investigación externa debe indicar que la fuente no es interna y que su confiabilidad depende de lo publicado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RF-032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El sistema puede combinar datos internos con investigación externa en una sola respuesta, siempre citando cada fuente por separado</w:t>
            </w:r>
          </w:p>
        </w:tc>
      </w:tr>
    </w:tbl>
    <w:bookmarkEnd w:id="27"/>
    <w:bookmarkStart w:id="28" w:name="generación-de-documentos-fase-1.5"/>
    <w:p>
      <w:pPr>
        <w:pStyle w:val="Heading3"/>
      </w:pPr>
      <w:r>
        <w:t xml:space="preserve">4.5 Generación de documentos (Fase 1.5)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171B2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ID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171B2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Requerimiento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RF-040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El sistema debe poder generar un archivo PPT, Excel o diagrama a partir de los datos consultados en la misma conversación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RF-041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El documento generado debe incluir referencia a la fecha y fuente de los datos usados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RF-042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El usuario debe poder descargar el documento generado sin pasos adicionales de autenticación</w:t>
            </w:r>
          </w:p>
        </w:tc>
      </w:tr>
    </w:tbl>
    <w:bookmarkEnd w:id="28"/>
    <w:bookmarkStart w:id="29" w:name="documentación-institucional-fase-1.75"/>
    <w:p>
      <w:pPr>
        <w:pStyle w:val="Heading3"/>
      </w:pPr>
      <w:r>
        <w:t xml:space="preserve">4.6 Documentación institucional (Fase 1.75)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171B2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ID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171B2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Requerimiento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RF-050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El sistema debe permitir consultar políticas, procedimientos y manuales vigentes a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bCs/>
                <w:rFonts w:ascii="Calibri" w:hAnsi="Calibri"/>
                <w:b/>
                <w:sz w:val="18"/>
              </w:rPr>
              <w:t xml:space="preserve">cualquier usuario autenticado</w:t>
            </w:r>
            <w:r>
              <w:rPr>
                <w:rFonts w:ascii="Calibri" w:hAnsi="Calibri"/>
                <w:sz w:val="18"/>
              </w:rPr>
              <w:t xml:space="preserve">, sin restricción de rol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RF-051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El sistema debe indicar la versión y fecha de vigencia del documento institucional citado</w:t>
            </w:r>
          </w:p>
        </w:tc>
      </w:tr>
    </w:tbl>
    <w:bookmarkEnd w:id="29"/>
    <w:bookmarkStart w:id="30" w:name="rrhh-y-legal-fase-2-condicionado"/>
    <w:p>
      <w:pPr>
        <w:pStyle w:val="Heading3"/>
      </w:pPr>
      <w:r>
        <w:t xml:space="preserve">4.7 RRHH y Legal (Fase 2 — condicionado)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171B2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ID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171B2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Requerimiento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RF-060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El sistema debe restringir el acceso a datos de sueldo y bonos exclusivamente al propio empleado y a RRHH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RF-061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El sistema debe mostrar datos de permisos/vacaciones/ausentismo de un equipo de forma agregada al jefe directo, nunca el detalle individual de otro empleado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RF-062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El sistema debe restringir el acceso a contratos (proveedores, clientes/externos, empleados) exclusivamente a Legal y, según el tipo de contrato, a Finanzas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RF-063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Ninguno de estos requerimientos puede activarse en producción sin aprobación explícita y documentada de RRHH (Andrea Cárdenas) y Legal (Renato Saldaña)</w:t>
            </w:r>
          </w:p>
        </w:tc>
      </w:tr>
    </w:tbl>
    <w:bookmarkEnd w:id="30"/>
    <w:bookmarkStart w:id="31" w:name="trazabilidad-y-auditoría-todas-las-fases"/>
    <w:p>
      <w:pPr>
        <w:pStyle w:val="Heading3"/>
      </w:pPr>
      <w:r>
        <w:t xml:space="preserve">4.8 Trazabilidad y auditoría (todas las fases)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171B2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ID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171B2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Requerimiento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RF-070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El sistema debe registrar cada consulta: usuario, rol, pregunta, dominio(s) consultado(s), y si fue permitida o denegada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RF-071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El registro de auditoría debe ser consultable por TI para investigar incidentes, y por el dueño de cada dominio para su propio dominio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RF-072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El sistema debe monitorear el consumo de tokens por usuario/mes y alertar si un usuario excede un umbral definido</w:t>
            </w:r>
          </w:p>
        </w:tc>
      </w:tr>
    </w:tbl>
    <w:bookmarkEnd w:id="31"/>
    <w:bookmarkEnd w:id="32"/>
    <w:bookmarkStart w:id="33" w:name="requerimientos-no-funcionales"/>
    <w:p>
      <w:pPr>
        <w:pStyle w:val="Heading2"/>
      </w:pPr>
      <w:r>
        <w:t xml:space="preserve">5. Requerimientos no funcionales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171B2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ID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171B2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Requerimiento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171B2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Motivo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RNF-001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El Corporate RAG debe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bCs/>
                <w:rFonts w:ascii="Calibri" w:hAnsi="Calibri"/>
                <w:b/>
                <w:sz w:val="18"/>
              </w:rPr>
              <w:t xml:space="preserve">pre-agregar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los resultados antes de devolverlos al modelo (nunca tablas crudas de transacciones)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Reduce costo de tokens (5-10x) y riesgo de que la IA malinterprete datos crudos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RNF-002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El sistema debe responder una consulta simple (Nivel 1) en menos de [SUPUESTO — definir] segundos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Experiencia de usuario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RNF-003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El sistema debe operar con un límite de consultas por usuario/mes configurable, para controlar el costo variable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Control de OPEX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RNF-004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El prompt de sistema y las reglas de permisos deben poder actualizarse sin requerir un nuevo despliegue completo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Mantenibilidad — la matriz de acceso cambiará con el tiempo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RNF-005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El sistema debe degradar sin exponer datos si una herramienta falla (ej. la fuente de datos no responde) — nunca debe inventar una respuesta como respaldo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Seguridad y confiabilidad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RNF-006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Los datos de RRHH y Legal nunca deben quedar en logs o registros accesibles por roles distintos a los autorizados para ese dominio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Cumplimiento de datos personales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RNF-007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El sistema debe permitir, como decisión de arquitectura a evaluar, una implementación multiagente (agentes especializados por dominio) en lugar de un orquestador único, dado el ahorro de tokens observado (~24%)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Costo y desempeño</w:t>
            </w:r>
          </w:p>
        </w:tc>
      </w:tr>
    </w:tbl>
    <w:bookmarkEnd w:id="33"/>
    <w:bookmarkStart w:id="34" w:name="reglas-de-negocio"/>
    <w:p>
      <w:pPr>
        <w:pStyle w:val="Heading2"/>
      </w:pPr>
      <w:r>
        <w:t xml:space="preserve">6. Reglas de negocio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171B2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ID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171B2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Regla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RN-001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El acceso a cada dominio de dato se rige por la Matriz de Acceso a Datos por Rol — ningún requerimiento de este documento puede contradecirla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RN-002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Ninguna respuesta puede presentarse como dato verificado si proviene de una estimación, proyección, o análisis generado por la IA — debe marcarse explícitamente como tal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RN-003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El acceso a RRHH y Legal permanece deshabilitado hasta que sus respectivos dueños de dominio lo aprueben formalmente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RN-004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La generación de documentos (PPT/Excel) no debe activarse antes de que el motor de consultas (Fases 0-1) esté validado en producción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RN-005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Todo proveedor de IA evaluado para este sistema debe cumplir con residencia de datos aceptable para información sensible — proveedores de origen chino requieren revisión legal previa antes de considerarse para Fase 2</w:t>
            </w:r>
          </w:p>
        </w:tc>
      </w:tr>
    </w:tbl>
    <w:bookmarkEnd w:id="34"/>
    <w:bookmarkStart w:id="39" w:name="casos-de-uso-detallados"/>
    <w:p>
      <w:pPr>
        <w:pStyle w:val="Heading2"/>
      </w:pPr>
      <w:r>
        <w:t xml:space="preserve">7. Casos de uso detallados</w:t>
      </w:r>
    </w:p>
    <w:bookmarkStart w:id="35" w:name="cu-01-consulta-directa-de-ventas"/>
    <w:p>
      <w:pPr>
        <w:pStyle w:val="Heading3"/>
      </w:pPr>
      <w:r>
        <w:t xml:space="preserve">CU-01 — Consulta directa de ventas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171B2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Campo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171B2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Detalle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Actor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Usuario solicitante (rol con permiso sobre Ventas/Comercial)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Precondición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Usuario autenticado; rol validado contra Matriz de Acceso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Flujo principal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1. Usuario pregunta por ventas de un producto. 2. Orquestador identifica el dominio (Ventas) y valida permiso. 3. Corporate RAG consulta el SQL central. 4. Orquestador redacta respuesta citando la fuente.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Flujo alterno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Si el producto no existe en el catálogo, el sistema lo informa y sugiere revisar el código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Poscondición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Consulta registrada en auditoría</w:t>
            </w:r>
          </w:p>
        </w:tc>
      </w:tr>
    </w:tbl>
    <w:bookmarkEnd w:id="35"/>
    <w:bookmarkStart w:id="36" w:name="X613e4492ac1ae40add957d5c28bdf533b5b1012"/>
    <w:p>
      <w:pPr>
        <w:pStyle w:val="Heading3"/>
      </w:pPr>
      <w:r>
        <w:t xml:space="preserve">CU-02 — Proyección de ventas con variables externas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171B2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Campo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171B2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Detalle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Actor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Usuario solicitante (Ventas, Comercial)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Precondición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Usuario autenticado; permiso sobre Ventas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Flujo principal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1. Usuario solicita proyección. 2. Orquestador identifica que es una solicitud predictiva (RF-020). 3. Corporate RAG trae histórico de ventas. 4. Sistema evalúa variables externas relevantes (ej. clima). 5. Modelo calcula la estimación. 6. Respuesta incluye aviso explícito de que es una proyección (RF-021).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Poscondición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Consulta registrada; la proyección no se guarda como dato oficial en ningún sistema transaccional</w:t>
            </w:r>
          </w:p>
        </w:tc>
      </w:tr>
    </w:tbl>
    <w:bookmarkEnd w:id="36"/>
    <w:bookmarkStart w:id="37" w:name="X5865e8901cc68a6d5abb0a86a161ef04e9c5edc"/>
    <w:p>
      <w:pPr>
        <w:pStyle w:val="Heading3"/>
      </w:pPr>
      <w:r>
        <w:t xml:space="preserve">CU-03 — Intento de acceso no autorizado a datos de RRHH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171B2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Campo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171B2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Detalle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Actor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Usuario solicitante sin permiso sobre RRHH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Precondición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Usuario autenticado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Flujo principal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1. Usuario pregunta por el sueldo de otro empleado. 2. Orquestador identifica el dominio (RRHH — dato altamente sensible). 3. Valida contra Matriz de Acceso: acceso denegado. 4. Sistema informa que no tiene permiso, sin revelar el dato ni confirmar/negar su existencia de forma indirecta.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Poscondición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Intento registrado en auditoría como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denegado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, visible para TI y para RRHH</w:t>
            </w:r>
          </w:p>
        </w:tc>
      </w:tr>
    </w:tbl>
    <w:bookmarkEnd w:id="37"/>
    <w:bookmarkStart w:id="38" w:name="X389e28be94281ef850638f81029d80692f55f0a"/>
    <w:p>
      <w:pPr>
        <w:pStyle w:val="Heading3"/>
      </w:pPr>
      <w:r>
        <w:t xml:space="preserve">CU-04 — Generación de un documento PPT a partir de una consulta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171B2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Campo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171B2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Detalle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Actor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Usuario solicitante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Precondición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Fase 1.5 habilitada; usuario ya obtuvo una respuesta de datos en la conversación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Flujo principal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1. Usuario pide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arma esto en un PPT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. 2. Sistema estructura los datos ya consultados en un formato de slides. 3. Genera el archivo con fecha y fuente de los datos. 4. Usuario descarga el archivo.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Poscondición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Generación registrada en auditoría; el archivo no se almacena con datos de RRHH/Legal salvo que el usuario tenga permiso explícito sobre esos dominios</w:t>
            </w:r>
          </w:p>
        </w:tc>
      </w:tr>
    </w:tbl>
    <w:bookmarkEnd w:id="38"/>
    <w:bookmarkEnd w:id="39"/>
    <w:bookmarkStart w:id="40" w:name="matriz-de-trazabilidad-resumen"/>
    <w:p>
      <w:pPr>
        <w:pStyle w:val="Heading2"/>
      </w:pPr>
      <w:r>
        <w:t xml:space="preserve">8. Matriz de trazabilidad (resumen)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171B2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Requerimiento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171B2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Fase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171B21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Caso de uso relacionado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RF-001 – RF-003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Fase 0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CU-01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RF-010 – RF-015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Fase 0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CU-01, CU-03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RF-020 – RF-023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Fase 1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CU-02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RF-030 – RF-032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Fase 1.5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—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RF-040 – RF-042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Fase 1.5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CU-04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RF-050 – RF-051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Fase 1.75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—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RF-060 – RF-063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Fase 2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CU-03</w:t>
            </w:r>
          </w:p>
        </w:tc>
      </w:tr>
      <w:tr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RF-070 – RF-072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Todas</w:t>
            </w:r>
          </w:p>
        </w:tc>
        <w:tc>
          <w:tcPr>
            <w:tcBorders>
              <w:top w:val="single" w:sz="4" w:color="D7DBDE"/>
              <w:left w:val="single" w:sz="4" w:color="D7DBDE"/>
              <w:bottom w:val="single" w:sz="4" w:color="D7DBDE"/>
              <w:right w:val="single" w:sz="4" w:color="D7DBDE"/>
            </w:tcBorders>
            <w:shd w:val="clear" w:color="auto" w:fill="F4F5F6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 xml:space="preserve">CU-01, CU-02, CU-03, CU-04</w:t>
            </w:r>
          </w:p>
        </w:tc>
      </w:tr>
    </w:tbl>
    <w:bookmarkEnd w:id="40"/>
    <w:bookmarkStart w:id="41" w:name="anexos-referenciados"/>
    <w:p>
      <w:pPr>
        <w:pStyle w:val="Heading2"/>
      </w:pPr>
      <w:r>
        <w:t xml:space="preserve">9. Anexos referenciados</w:t>
      </w:r>
    </w:p>
    <w:p>
      <w:pPr>
        <w:numPr>
          <w:ilvl w:val="0"/>
          <w:numId w:val="1001"/>
        </w:numPr>
        <w:pStyle w:val="Compact"/>
      </w:pPr>
      <w:r>
        <w:t xml:space="preserve">Matriz de Acceso a Datos por Rol (archivo Excel —</w:t>
      </w:r>
      <w:r>
        <w:t xml:space="preserve"> </w:t>
      </w:r>
      <w:r>
        <w:rPr>
          <w:rStyle w:val="VerbatimChar"/>
        </w:rPr>
        <w:t xml:space="preserve">matriz-acceso-ia-mtindustrial.xlsx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Diagrama de Arquitectura por Capas (</w:t>
      </w:r>
      <w:r>
        <w:rPr>
          <w:rStyle w:val="VerbatimChar"/>
        </w:rPr>
        <w:t xml:space="preserve">arquitectura-ecosistemaia.svg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Propuesta Macro — OPEX, CAPEX y ROI (documento Word/PDF asociado)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funcional en borrador — EcosistemaIA · MT Industrial. Pendiente de revisión por TI antes de iniciar diseño técnico.</w:t>
      </w:r>
    </w:p>
    <w:bookmarkEnd w:id="41"/>
    <w:bookmarkEnd w:id="42"/>
    <w:sectPr>
      <w:footerReference w:type="default" r:id="rId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4B5560"/>
        <w:sz w:val="16"/>
      </w:rPr>
      <w:t xml:space="preserve">EcosistemaIA · Documento Funcional  |  Página </w:t>
    </w:r>
    <w:r>
      <w:rPr>
        <w:color w:val="4B5560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color w:val="22262B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2026-08-14T21:28:09Z</dcterms:created>
  <dcterms:modified xsi:type="dcterms:W3CDTF">2026-08-14T21:28:09Z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