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Figure Regeneration &amp; Resolution Audit (Item K)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Prepared by Onur Ergüden, 06.08.2026.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Method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Every figure file under </w:t>
      </w:r>
      <w:r>
        <w:rPr>
          <w:rFonts w:ascii="Courier" w:hAnsi="Courier" w:cs="Courier"/>
          <w:sz w:val="26"/>
          <w:sz-cs w:val="26"/>
          <w:spacing w:val="0"/>
        </w:rPr>
        <w:t xml:space="preserve">models/outputs/reactive/figures/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models/outputs/proactive/figures/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data/data/graphs/</w:t>
      </w:r>
      <w:r>
        <w:rPr>
          <w:rFonts w:ascii="Times" w:hAnsi="Times" w:cs="Times"/>
          <w:sz w:val="24"/>
          <w:sz-cs w:val="24"/>
          <w:spacing w:val="0"/>
        </w:rPr>
        <w:t xml:space="preserve"> was opened programmatically (Pillow) to read its actual embedded resolution and DPI metadata, rather than trusting filenames or prior claims.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Result: all raster figures are already 300 DPI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All 26 reactive PNGs and 20 proactive PNGs report </w:t>
      </w:r>
      <w:r>
        <w:rPr>
          <w:rFonts w:ascii="Times" w:hAnsi="Times" w:cs="Times"/>
          <w:sz w:val="24"/>
          <w:sz-cs w:val="24"/>
          <w:b/>
          <w:spacing w:val="0"/>
        </w:rPr>
        <w:t xml:space="preserve">299.9994 × 299.9994 DPI</w:t>
      </w:r>
      <w:r>
        <w:rPr>
          <w:rFonts w:ascii="Times" w:hAnsi="Times" w:cs="Times"/>
          <w:sz w:val="24"/>
          <w:sz-cs w:val="24"/>
          <w:spacing w:val="0"/>
        </w:rPr>
        <w:t xml:space="preserve"> — this is matplotlib's floating-point rounding of </w:t>
      </w:r>
      <w:r>
        <w:rPr>
          <w:rFonts w:ascii="Courier" w:hAnsi="Courier" w:cs="Courier"/>
          <w:sz w:val="26"/>
          <w:sz-cs w:val="26"/>
          <w:spacing w:val="0"/>
        </w:rPr>
        <w:t xml:space="preserve">savefig(dpi=300)</w:t>
      </w:r>
      <w:r>
        <w:rPr>
          <w:rFonts w:ascii="Times" w:hAnsi="Times" w:cs="Times"/>
          <w:sz w:val="24"/>
          <w:sz-cs w:val="24"/>
          <w:spacing w:val="0"/>
        </w:rPr>
        <w:t xml:space="preserve"> and is 300 DPI in practice. Pixel dimensions range from ~2000×1700 (confusion matrices) to ~3300×1950 (comparison charts), i.e. 6.7–11 inches at 300 DPI — well above the journal's minimum. The vector figures (Fig. 1–3, from </w:t>
      </w:r>
      <w:r>
        <w:rPr>
          <w:rFonts w:ascii="Courier" w:hAnsi="Courier" w:cs="Courier"/>
          <w:sz w:val="26"/>
          <w:sz-cs w:val="26"/>
          <w:spacing w:val="0"/>
        </w:rPr>
        <w:t xml:space="preserve">data/data/graphs/*.pdf</w:t>
      </w:r>
      <w:r>
        <w:rPr>
          <w:rFonts w:ascii="Times" w:hAnsi="Times" w:cs="Times"/>
          <w:sz w:val="24"/>
          <w:sz-cs w:val="24"/>
          <w:spacing w:val="0"/>
        </w:rPr>
        <w:t xml:space="preserve">) are resolution-independent by construction.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regeneration for resolution was required</w:t>
      </w:r>
      <w:r>
        <w:rPr>
          <w:rFonts w:ascii="Times" w:hAnsi="Times" w:cs="Times"/>
          <w:sz w:val="24"/>
          <w:sz-cs w:val="24"/>
          <w:spacing w:val="0"/>
        </w:rPr>
        <w:t xml:space="preserve">; item K's "yeniden üretilmesi" requirement is satisfied by the pipeline's existing output, confirmed rather than assumed.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Gap found and closed: Figure 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manuscript text references "Figure 6. Class-wise performance metrics…maintains high recall for the critical 'Risk' class," but no file in </w:t>
      </w:r>
      <w:r>
        <w:rPr>
          <w:rFonts w:ascii="Courier" w:hAnsi="Courier" w:cs="Courier"/>
          <w:sz w:val="26"/>
          <w:sz-cs w:val="26"/>
          <w:spacing w:val="0"/>
        </w:rPr>
        <w:t xml:space="preserve">models/outputs/reactive/figures/</w:t>
      </w:r>
      <w:r>
        <w:rPr>
          <w:rFonts w:ascii="Times" w:hAnsi="Times" w:cs="Times"/>
          <w:sz w:val="24"/>
          <w:sz-cs w:val="24"/>
          <w:spacing w:val="0"/>
        </w:rPr>
        <w:t xml:space="preserve"> matched this description (only confusion matrices, a class-distribution bar chart, and an aggregate model-comparison chart existed). This was a genuine content gap, not a naming issue.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Fix:</w:t>
      </w:r>
      <w:r>
        <w:rPr>
          <w:rFonts w:ascii="Times" w:hAnsi="Times" w:cs="Times"/>
          <w:sz w:val="24"/>
          <w:sz-cs w:val="24"/>
          <w:spacing w:val="0"/>
        </w:rPr>
        <w:t xml:space="preserve"> generated </w:t>
      </w:r>
      <w:r>
        <w:rPr>
          <w:rFonts w:ascii="Courier" w:hAnsi="Courier" w:cs="Courier"/>
          <w:sz w:val="26"/>
          <w:sz-cs w:val="26"/>
          <w:spacing w:val="0"/>
        </w:rPr>
        <w:t xml:space="preserve">figure_06_svm_classwise_performance.png</w:t>
      </w:r>
      <w:r>
        <w:rPr>
          <w:rFonts w:ascii="Times" w:hAnsi="Times" w:cs="Times"/>
          <w:sz w:val="24"/>
          <w:sz-cs w:val="24"/>
          <w:spacing w:val="0"/>
        </w:rPr>
        <w:t xml:space="preserve">, a grouped bar chart of Precision/Recall/F1 per class (Good/Caution/Risk) for the SVM model on the Mixed Test set, sourced directly from </w:t>
      </w:r>
      <w:r>
        <w:rPr>
          <w:rFonts w:ascii="Courier" w:hAnsi="Courier" w:cs="Courier"/>
          <w:sz w:val="26"/>
          <w:sz-cs w:val="26"/>
          <w:spacing w:val="0"/>
        </w:rPr>
        <w:t xml:space="preserve">reactive_classwise_metrics.csv</w:t>
      </w:r>
      <w:r>
        <w:rPr>
          <w:rFonts w:ascii="Times" w:hAnsi="Times" w:cs="Times"/>
          <w:sz w:val="24"/>
          <w:sz-cs w:val="24"/>
          <w:spacing w:val="0"/>
        </w:rPr>
        <w:t xml:space="preserve"> (no hand-entered numbers). Saved at 3300×1950 px, 300 DPI. Generation script included in the delivery package at </w:t>
      </w:r>
      <w:r>
        <w:rPr>
          <w:rFonts w:ascii="Courier" w:hAnsi="Courier" w:cs="Courier"/>
          <w:sz w:val="26"/>
          <w:sz-cs w:val="26"/>
          <w:spacing w:val="0"/>
        </w:rPr>
        <w:t xml:space="preserve">04_code/reactive_layer/make_figure06_classwise.py</w:t>
      </w:r>
      <w:r>
        <w:rPr>
          <w:rFonts w:ascii="Times" w:hAnsi="Times" w:cs="Times"/>
          <w:sz w:val="24"/>
          <w:sz-cs w:val="24"/>
          <w:spacing w:val="0"/>
        </w:rPr>
        <w:t xml:space="preserve"> for full reproducibility.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Full figure-to-manuscript mapping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Manuscript Figure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Delivered file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Generated by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Resolution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07_figures_300dpi/overview/Figure_01_HF_time_series.pdf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data/izsu_visualizer.py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Vector (PDF)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07_figures_300dpi/overview/Figure_02_correlation_heatmap.pdf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data/izsu_visualizer.py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Vector (PDF)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07_figures_300dpi/overview/Figure_03_HF_density_PDF.pdf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data/izsu_visualizer.py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Vector (PDF)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07_figures_300dpi/reactive/Figure_04_model_comparison_MixedTest.png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models/classification_model.py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2971×1708 @300dpi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07_figures_300dpi/reactive/Figure_05_SVM_confusion_matrix_MixedTest.png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models/classification_model.py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2082×1708 @300dpi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6 (newly generated)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07_figures_300dpi/reactive/Figure_06_SVM_classwise_performance_MixedTest.png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make_figure06_classwise.py (new, this revision)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3300×1950 @300dpi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07_figures_300dpi/proactive/Figure_07_multiclass_confusion_matrix_RandomForest.png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models/proactive_trend_model.py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2036×1709 @300dpi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07_figures_300dpi/proactive/Figure_08_Drop_binary_confusion_matrix_RandomForest.png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models/proactive_trend_model.py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1905×1541 @300dpi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07_figures_300dpi/proactive/Figure_09_Rise_binary_confusion_matrix_RandomForest.png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models/proactive_trend_model.py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1909×1532 @300dpi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07_figures_300dpi/proactive/Figure_10_accuracy_vs_balanced_accuracy.png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models/proactive_trend_model.py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2971×1708 @300dpi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07_figures_300dpi/proactive/Figure_11_temporal_predicted_labels.png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models/proactive_trend_model.py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2969×1709 @300dpi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Note (see Report I): Figures 7–9 are generated for the current pipeline's </w:t>
      </w:r>
      <w:r>
        <w:rPr>
          <w:rFonts w:ascii="Times" w:hAnsi="Times" w:cs="Times"/>
          <w:sz w:val="24"/>
          <w:sz-cs w:val="24"/>
          <w:b/>
          <w:spacing w:val="0"/>
        </w:rPr>
        <w:t xml:space="preserve">selected</w:t>
      </w:r>
      <w:r>
        <w:rPr>
          <w:rFonts w:ascii="Times" w:hAnsi="Times" w:cs="Times"/>
          <w:sz w:val="24"/>
          <w:sz-cs w:val="24"/>
          <w:spacing w:val="0"/>
        </w:rPr>
        <w:t xml:space="preserve"> model, which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Random Forest</w:t>
      </w:r>
      <w:r>
        <w:rPr>
          <w:rFonts w:ascii="Times" w:hAnsi="Times" w:cs="Times"/>
          <w:sz w:val="24"/>
          <w:sz-cs w:val="24"/>
          <w:spacing w:val="0"/>
        </w:rPr>
        <w:t xml:space="preserve">, not Extra Trees. The filenames above have been renamed for this delivery to say "RandomForest" explicitly so there is no ambiguity when Sıla/Mirkan place them against the rewritten manuscript text.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Naming and format consistency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Model names are standardized across every file in this delivery as: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Support Vector Machine (SVM)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Random Forest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Decision Tree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K-Nearest Neighbors (KNN)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Extra Trees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Gradient Boosting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XGBoost</w:t>
      </w:r>
      <w:r>
        <w:rPr>
          <w:rFonts w:ascii="Times" w:hAnsi="Times" w:cs="Times"/>
          <w:sz w:val="24"/>
          <w:sz-cs w:val="24"/>
          <w:spacing w:val="0"/>
        </w:rPr>
        <w:t xml:space="preserve"> — matching exactly what the code prints, so figure legends/axis labels and manuscript text can be made to agree word-for-word.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figures are PNG. The reviewer letter did not specify TIFF; if the journal's author guidelines require TIFF specifically, every PNG here can be losslessly converted (no re-generation needed) — flagging this as an open question for Mirkan/the journal template rather than assuming.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