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4338CA"/>
          <w:sz w:val="56"/>
          <w:szCs w:val="56"/>
        </w:rPr>
        <w:t xml:space="preserve">Yüksek Seviye Tasarım</w:t>
      </w:r>
    </w:p>
    <w:p>
      <w:pPr>
        <w:spacing w:after="500"/>
        <w:jc w:val="center"/>
      </w:pPr>
      <w:r>
        <w:rPr>
          <w:color w:val="475569"/>
          <w:sz w:val="28"/>
          <w:szCs w:val="28"/>
        </w:rPr>
        <w:t xml:space="preserve">High-Level Design (HLD) Dokümanı</w:t>
      </w:r>
    </w:p>
    <w:p>
      <w:pPr>
        <w:spacing w:after="1800"/>
        <w:jc w:val="center"/>
      </w:pPr>
      <w:r>
        <w:rPr>
          <w:i/>
          <w:iCs/>
          <w:color w:val="7C3AED"/>
          <w:sz w:val="22"/>
          <w:szCs w:val="22"/>
        </w:rPr>
        <w:t xml:space="preserve">AI Test Generator — LLM Destekli Otonom Test Üretim Platformu</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800"/>
        <w:gridCol w:w="6200"/>
      </w:tblGrid>
      <w:tr>
        <w:trPr>
          <w:tblHeader/>
        </w:trPr>
        <w:tc>
          <w:tcPr>
            <w:tcW w:type="dxa" w:w="2800"/>
            <w:shd w:fill="312E81" w:val="clear"/>
            <w:tcMar>
              <w:top w:type="dxa" w:w="60"/>
              <w:left w:type="dxa" w:w="100"/>
              <w:bottom w:type="dxa" w:w="60"/>
              <w:right w:type="dxa" w:w="100"/>
            </w:tcMar>
          </w:tcPr>
          <w:p>
            <w:pPr>
              <w:spacing w:after="0"/>
            </w:pPr>
            <w:r>
              <w:rPr>
                <w:b/>
                <w:bCs/>
                <w:color w:val="FFFFFF"/>
                <w:sz w:val="19"/>
                <w:szCs w:val="19"/>
              </w:rPr>
              <w:t xml:space="preserve">Alan</w:t>
            </w:r>
          </w:p>
        </w:tc>
        <w:tc>
          <w:tcPr>
            <w:tcW w:type="dxa" w:w="6200"/>
            <w:shd w:fill="312E81" w:val="clear"/>
            <w:tcMar>
              <w:top w:type="dxa" w:w="60"/>
              <w:left w:type="dxa" w:w="100"/>
              <w:bottom w:type="dxa" w:w="60"/>
              <w:right w:type="dxa" w:w="100"/>
            </w:tcMar>
          </w:tcPr>
          <w:p>
            <w:pPr>
              <w:spacing w:after="0"/>
            </w:pPr>
            <w:r>
              <w:rPr>
                <w:b/>
                <w:bCs/>
                <w:color w:val="FFFFFF"/>
                <w:sz w:val="19"/>
                <w:szCs w:val="19"/>
              </w:rPr>
              <w:t xml:space="preserve">Değer</w:t>
            </w:r>
          </w:p>
        </w:tc>
      </w:tr>
      <w:tr>
        <w:tc>
          <w:tcPr>
            <w:tcW w:type="dxa" w:w="2800"/>
            <w:tcMar>
              <w:top w:type="dxa" w:w="60"/>
              <w:left w:type="dxa" w:w="100"/>
              <w:bottom w:type="dxa" w:w="60"/>
              <w:right w:type="dxa" w:w="100"/>
            </w:tcMar>
          </w:tcPr>
          <w:p>
            <w:pPr>
              <w:spacing w:after="0"/>
            </w:pPr>
            <w:r>
              <w:rPr>
                <w:color w:val="1E293B"/>
                <w:sz w:val="19"/>
                <w:szCs w:val="19"/>
              </w:rPr>
              <w:t xml:space="preserve">Doküman Kodu</w:t>
            </w:r>
          </w:p>
        </w:tc>
        <w:tc>
          <w:tcPr>
            <w:tcW w:type="dxa" w:w="6200"/>
            <w:tcMar>
              <w:top w:type="dxa" w:w="60"/>
              <w:left w:type="dxa" w:w="100"/>
              <w:bottom w:type="dxa" w:w="60"/>
              <w:right w:type="dxa" w:w="100"/>
            </w:tcMar>
          </w:tcPr>
          <w:p>
            <w:pPr>
              <w:spacing w:after="0"/>
            </w:pPr>
            <w:r>
              <w:rPr>
                <w:color w:val="1E293B"/>
                <w:sz w:val="19"/>
                <w:szCs w:val="19"/>
              </w:rPr>
              <w:t xml:space="preserve">AITG-HLD-001</w:t>
            </w:r>
          </w:p>
        </w:tc>
      </w:tr>
      <w:tr>
        <w:tc>
          <w:tcPr>
            <w:tcW w:type="dxa" w:w="2800"/>
            <w:shd w:fill="F1F5F9" w:val="clear"/>
            <w:tcMar>
              <w:top w:type="dxa" w:w="60"/>
              <w:left w:type="dxa" w:w="100"/>
              <w:bottom w:type="dxa" w:w="60"/>
              <w:right w:type="dxa" w:w="100"/>
            </w:tcMar>
          </w:tcPr>
          <w:p>
            <w:pPr>
              <w:spacing w:after="0"/>
            </w:pPr>
            <w:r>
              <w:rPr>
                <w:color w:val="1E293B"/>
                <w:sz w:val="19"/>
                <w:szCs w:val="19"/>
              </w:rPr>
              <w:t xml:space="preserve">Sürüm</w:t>
            </w:r>
          </w:p>
        </w:tc>
        <w:tc>
          <w:tcPr>
            <w:tcW w:type="dxa" w:w="6200"/>
            <w:shd w:fill="F1F5F9" w:val="clear"/>
            <w:tcMar>
              <w:top w:type="dxa" w:w="60"/>
              <w:left w:type="dxa" w:w="100"/>
              <w:bottom w:type="dxa" w:w="60"/>
              <w:right w:type="dxa" w:w="100"/>
            </w:tcMar>
          </w:tcPr>
          <w:p>
            <w:pPr>
              <w:spacing w:after="0"/>
            </w:pPr>
            <w:r>
              <w:rPr>
                <w:color w:val="1E293B"/>
                <w:sz w:val="19"/>
                <w:szCs w:val="19"/>
              </w:rPr>
              <w:t xml:space="preserve">2.0</w:t>
            </w:r>
          </w:p>
        </w:tc>
      </w:tr>
      <w:tr>
        <w:tc>
          <w:tcPr>
            <w:tcW w:type="dxa" w:w="2800"/>
            <w:tcMar>
              <w:top w:type="dxa" w:w="60"/>
              <w:left w:type="dxa" w:w="100"/>
              <w:bottom w:type="dxa" w:w="60"/>
              <w:right w:type="dxa" w:w="100"/>
            </w:tcMar>
          </w:tcPr>
          <w:p>
            <w:pPr>
              <w:spacing w:after="0"/>
            </w:pPr>
            <w:r>
              <w:rPr>
                <w:color w:val="1E293B"/>
                <w:sz w:val="19"/>
                <w:szCs w:val="19"/>
              </w:rPr>
              <w:t xml:space="preserve">Tarih</w:t>
            </w:r>
          </w:p>
        </w:tc>
        <w:tc>
          <w:tcPr>
            <w:tcW w:type="dxa" w:w="6200"/>
            <w:tcMar>
              <w:top w:type="dxa" w:w="60"/>
              <w:left w:type="dxa" w:w="100"/>
              <w:bottom w:type="dxa" w:w="60"/>
              <w:right w:type="dxa" w:w="100"/>
            </w:tcMar>
          </w:tcPr>
          <w:p>
            <w:pPr>
              <w:spacing w:after="0"/>
            </w:pPr>
            <w:r>
              <w:rPr>
                <w:color w:val="1E293B"/>
                <w:sz w:val="19"/>
                <w:szCs w:val="19"/>
              </w:rPr>
              <w:t xml:space="preserve">16.08.2026</w:t>
            </w:r>
          </w:p>
        </w:tc>
      </w:tr>
      <w:tr>
        <w:tc>
          <w:tcPr>
            <w:tcW w:type="dxa" w:w="2800"/>
            <w:shd w:fill="F1F5F9" w:val="clear"/>
            <w:tcMar>
              <w:top w:type="dxa" w:w="60"/>
              <w:left w:type="dxa" w:w="100"/>
              <w:bottom w:type="dxa" w:w="60"/>
              <w:right w:type="dxa" w:w="100"/>
            </w:tcMar>
          </w:tcPr>
          <w:p>
            <w:pPr>
              <w:spacing w:after="0"/>
            </w:pPr>
            <w:r>
              <w:rPr>
                <w:color w:val="1E293B"/>
                <w:sz w:val="19"/>
                <w:szCs w:val="19"/>
              </w:rPr>
              <w:t xml:space="preserve">Durum</w:t>
            </w:r>
          </w:p>
        </w:tc>
        <w:tc>
          <w:tcPr>
            <w:tcW w:type="dxa" w:w="6200"/>
            <w:shd w:fill="F1F5F9" w:val="clear"/>
            <w:tcMar>
              <w:top w:type="dxa" w:w="60"/>
              <w:left w:type="dxa" w:w="100"/>
              <w:bottom w:type="dxa" w:w="60"/>
              <w:right w:type="dxa" w:w="100"/>
            </w:tcMar>
          </w:tcPr>
          <w:p>
            <w:pPr>
              <w:spacing w:after="0"/>
            </w:pPr>
            <w:r>
              <w:rPr>
                <w:color w:val="1E293B"/>
                <w:sz w:val="19"/>
                <w:szCs w:val="19"/>
              </w:rPr>
              <w:t xml:space="preserve">Güncel — kod ile doğrulandı (606 test, 0 hata)</w:t>
            </w:r>
          </w:p>
        </w:tc>
      </w:tr>
      <w:tr>
        <w:tc>
          <w:tcPr>
            <w:tcW w:type="dxa" w:w="2800"/>
            <w:tcMar>
              <w:top w:type="dxa" w:w="60"/>
              <w:left w:type="dxa" w:w="100"/>
              <w:bottom w:type="dxa" w:w="60"/>
              <w:right w:type="dxa" w:w="100"/>
            </w:tcMar>
          </w:tcPr>
          <w:p>
            <w:pPr>
              <w:spacing w:after="0"/>
            </w:pPr>
            <w:r>
              <w:rPr>
                <w:color w:val="1E293B"/>
                <w:sz w:val="19"/>
                <w:szCs w:val="19"/>
              </w:rPr>
              <w:t xml:space="preserve">Hazırlayan</w:t>
            </w:r>
          </w:p>
        </w:tc>
        <w:tc>
          <w:tcPr>
            <w:tcW w:type="dxa" w:w="6200"/>
            <w:tcMar>
              <w:top w:type="dxa" w:w="60"/>
              <w:left w:type="dxa" w:w="100"/>
              <w:bottom w:type="dxa" w:w="60"/>
              <w:right w:type="dxa" w:w="100"/>
            </w:tcMar>
          </w:tcPr>
          <w:p>
            <w:pPr>
              <w:spacing w:after="0"/>
            </w:pPr>
            <w:r>
              <w:rPr>
                <w:color w:val="1E293B"/>
                <w:sz w:val="19"/>
                <w:szCs w:val="19"/>
              </w:rPr>
              <w:t xml:space="preserve">AI Test Generator Ekibi</w:t>
            </w:r>
          </w:p>
        </w:tc>
      </w:tr>
    </w:tbl>
    <w:p>
      <w:r>
        <w:br w:type="page"/>
      </w:r>
    </w:p>
    <w:p>
      <w:pPr>
        <w:pStyle w:val="Heading1"/>
        <w:spacing w:after="140" w:before="320"/>
      </w:pPr>
      <w:r>
        <w:rPr>
          <w:b/>
          <w:bCs/>
          <w:color w:val="4338CA"/>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4338CA"/>
        </w:rPr>
        <w:t xml:space="preserve">1. Amaç ve Kapsam</w:t>
      </w:r>
    </w:p>
    <w:p>
      <w:pPr>
        <w:spacing w:after="100"/>
      </w:pPr>
      <w:r>
        <w:rPr>
          <w:color w:val="1E293B"/>
        </w:rPr>
        <w:t xml:space="preserve">Bu doküman, AI Test Generator platformunun yüksek seviye mimarisini, ana bileşenlerini, veri mimarisini, dış entegrasyonlarını, dağıtım modelini ve kalite niteliklerini tanımlar. Hedef kitle: mimari karar vericiler, yeni katılan geliştiriciler ve operasyon ekipleri.</w:t>
      </w:r>
    </w:p>
    <w:p>
      <w:pPr>
        <w:spacing w:after="100"/>
      </w:pPr>
      <w:r>
        <w:rPr>
          <w:color w:val="1E293B"/>
        </w:rPr>
        <w:t xml:space="preserve">AI Test Generator; Swagger/OpenAPI dokümanı, ham HTTP istekleri (cURL, Postman Collection, HAR, GraphQL, SOAP) veya kullanıcı hikayesinden yola çıkarak Karate DSL, REST Assured ve Selenium test kodları üreten, bu testleri gerçek ortamda koşan, başarısızlıkları LLM ile otomatik onaran (self-healing) ve koşum geçmişinden servis bazlı dersler çıkararak sonraki üretimlerin isabetini artıran (halüsinasyon azaltma) bir platformdur.</w:t>
      </w:r>
    </w:p>
    <w:p>
      <w:pPr>
        <w:spacing w:after="100"/>
      </w:pPr>
      <w:r>
        <w:rPr>
          <w:color w:val="1E293B"/>
        </w:rPr>
        <w:t xml:space="preserve">Kapsam dışı: Üretilen testlerin hedef aldığı uygulamaların kendi tasarımı; kurumsal kimlik yönetimi (yol haritasında).</w:t>
      </w:r>
    </w:p>
    <w:p>
      <w:pPr>
        <w:pStyle w:val="Heading1"/>
        <w:spacing w:after="140" w:before="320"/>
      </w:pPr>
      <w:r>
        <w:rPr>
          <w:b/>
          <w:bCs/>
          <w:color w:val="4338CA"/>
        </w:rPr>
        <w:t xml:space="preserve">2. Sistem Bağlamı</w:t>
      </w:r>
    </w:p>
    <w:p>
      <w:pPr>
        <w:spacing w:after="100"/>
      </w:pPr>
      <w:r>
        <w:rPr>
          <w:color w:val="1E293B"/>
        </w:rPr>
        <w:t xml:space="preserve">Platform, çevresindeki beş dış aktörle etkileşir:</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600"/>
        <w:gridCol w:w="900"/>
        <w:gridCol w:w="5500"/>
      </w:tblGrid>
      <w:tr>
        <w:trPr>
          <w:tblHeader/>
        </w:trPr>
        <w:tc>
          <w:tcPr>
            <w:tcW w:type="dxa" w:w="2600"/>
            <w:shd w:fill="312E81" w:val="clear"/>
            <w:tcMar>
              <w:top w:type="dxa" w:w="60"/>
              <w:left w:type="dxa" w:w="100"/>
              <w:bottom w:type="dxa" w:w="60"/>
              <w:right w:type="dxa" w:w="100"/>
            </w:tcMar>
          </w:tcPr>
          <w:p>
            <w:pPr>
              <w:spacing w:after="0"/>
            </w:pPr>
            <w:r>
              <w:rPr>
                <w:b/>
                <w:bCs/>
                <w:color w:val="FFFFFF"/>
                <w:sz w:val="19"/>
                <w:szCs w:val="19"/>
              </w:rPr>
              <w:t xml:space="preserve">Aktör</w:t>
            </w:r>
          </w:p>
        </w:tc>
        <w:tc>
          <w:tcPr>
            <w:tcW w:type="dxa" w:w="900"/>
            <w:shd w:fill="312E81" w:val="clear"/>
            <w:tcMar>
              <w:top w:type="dxa" w:w="60"/>
              <w:left w:type="dxa" w:w="100"/>
              <w:bottom w:type="dxa" w:w="60"/>
              <w:right w:type="dxa" w:w="100"/>
            </w:tcMar>
          </w:tcPr>
          <w:p>
            <w:pPr>
              <w:spacing w:after="0"/>
            </w:pPr>
            <w:r>
              <w:rPr>
                <w:b/>
                <w:bCs/>
                <w:color w:val="FFFFFF"/>
                <w:sz w:val="19"/>
                <w:szCs w:val="19"/>
              </w:rPr>
              <w:t xml:space="preserve">Yön</w:t>
            </w:r>
          </w:p>
        </w:tc>
        <w:tc>
          <w:tcPr>
            <w:tcW w:type="dxa" w:w="5500"/>
            <w:shd w:fill="312E81" w:val="clear"/>
            <w:tcMar>
              <w:top w:type="dxa" w:w="60"/>
              <w:left w:type="dxa" w:w="100"/>
              <w:bottom w:type="dxa" w:w="60"/>
              <w:right w:type="dxa" w:w="100"/>
            </w:tcMar>
          </w:tcPr>
          <w:p>
            <w:pPr>
              <w:spacing w:after="0"/>
            </w:pPr>
            <w:r>
              <w:rPr>
                <w:b/>
                <w:bCs/>
                <w:color w:val="FFFFFF"/>
                <w:sz w:val="19"/>
                <w:szCs w:val="19"/>
              </w:rPr>
              <w:t xml:space="preserve">Etkileşim</w:t>
            </w:r>
          </w:p>
        </w:tc>
      </w:tr>
      <w:tr>
        <w:tc>
          <w:tcPr>
            <w:tcW w:type="dxa" w:w="2600"/>
            <w:tcMar>
              <w:top w:type="dxa" w:w="60"/>
              <w:left w:type="dxa" w:w="100"/>
              <w:bottom w:type="dxa" w:w="60"/>
              <w:right w:type="dxa" w:w="100"/>
            </w:tcMar>
          </w:tcPr>
          <w:p>
            <w:pPr>
              <w:spacing w:after="0"/>
            </w:pPr>
            <w:r>
              <w:rPr>
                <w:color w:val="1E293B"/>
                <w:sz w:val="19"/>
                <w:szCs w:val="19"/>
              </w:rPr>
              <w:t xml:space="preserve">QA Mühendisi / Geliştirici</w:t>
            </w:r>
          </w:p>
        </w:tc>
        <w:tc>
          <w:tcPr>
            <w:tcW w:type="dxa" w:w="900"/>
            <w:tcMar>
              <w:top w:type="dxa" w:w="60"/>
              <w:left w:type="dxa" w:w="100"/>
              <w:bottom w:type="dxa" w:w="60"/>
              <w:right w:type="dxa" w:w="100"/>
            </w:tcMar>
          </w:tcPr>
          <w:p>
            <w:pPr>
              <w:spacing w:after="0"/>
            </w:pPr>
            <w:r>
              <w:rPr>
                <w:color w:val="1E293B"/>
                <w:sz w:val="19"/>
                <w:szCs w:val="19"/>
              </w:rPr>
              <w:t xml:space="preserve">İç</w:t>
            </w:r>
          </w:p>
        </w:tc>
        <w:tc>
          <w:tcPr>
            <w:tcW w:type="dxa" w:w="5500"/>
            <w:tcMar>
              <w:top w:type="dxa" w:w="60"/>
              <w:left w:type="dxa" w:w="100"/>
              <w:bottom w:type="dxa" w:w="60"/>
              <w:right w:type="dxa" w:w="100"/>
            </w:tcMar>
          </w:tcPr>
          <w:p>
            <w:pPr>
              <w:spacing w:after="0"/>
            </w:pPr>
            <w:r>
              <w:rPr>
                <w:color w:val="1E293B"/>
                <w:sz w:val="19"/>
                <w:szCs w:val="19"/>
              </w:rPr>
              <w:t xml:space="preserve">Dashboard (Thymeleaf) ve REST API üzerinden test üretimi, koşum, karşılaştırma</w:t>
            </w:r>
          </w:p>
        </w:tc>
      </w:tr>
      <w:tr>
        <w:tc>
          <w:tcPr>
            <w:tcW w:type="dxa" w:w="2600"/>
            <w:shd w:fill="F1F5F9" w:val="clear"/>
            <w:tcMar>
              <w:top w:type="dxa" w:w="60"/>
              <w:left w:type="dxa" w:w="100"/>
              <w:bottom w:type="dxa" w:w="60"/>
              <w:right w:type="dxa" w:w="100"/>
            </w:tcMar>
          </w:tcPr>
          <w:p>
            <w:pPr>
              <w:spacing w:after="0"/>
            </w:pPr>
            <w:r>
              <w:rPr>
                <w:color w:val="1E293B"/>
                <w:sz w:val="19"/>
                <w:szCs w:val="19"/>
              </w:rPr>
              <w:t xml:space="preserve">Hedef API / Web Uygulaması</w:t>
            </w:r>
          </w:p>
        </w:tc>
        <w:tc>
          <w:tcPr>
            <w:tcW w:type="dxa" w:w="900"/>
            <w:shd w:fill="F1F5F9" w:val="clear"/>
            <w:tcMar>
              <w:top w:type="dxa" w:w="60"/>
              <w:left w:type="dxa" w:w="100"/>
              <w:bottom w:type="dxa" w:w="60"/>
              <w:right w:type="dxa" w:w="100"/>
            </w:tcMar>
          </w:tcPr>
          <w:p>
            <w:pPr>
              <w:spacing w:after="0"/>
            </w:pPr>
            <w:r>
              <w:rPr>
                <w:color w:val="1E293B"/>
                <w:sz w:val="19"/>
                <w:szCs w:val="19"/>
              </w:rPr>
              <w:t xml:space="preserve">Dış</w:t>
            </w:r>
          </w:p>
        </w:tc>
        <w:tc>
          <w:tcPr>
            <w:tcW w:type="dxa" w:w="5500"/>
            <w:shd w:fill="F1F5F9" w:val="clear"/>
            <w:tcMar>
              <w:top w:type="dxa" w:w="60"/>
              <w:left w:type="dxa" w:w="100"/>
              <w:bottom w:type="dxa" w:w="60"/>
              <w:right w:type="dxa" w:w="100"/>
            </w:tcMar>
          </w:tcPr>
          <w:p>
            <w:pPr>
              <w:spacing w:after="0"/>
            </w:pPr>
            <w:r>
              <w:rPr>
                <w:color w:val="1E293B"/>
                <w:sz w:val="19"/>
                <w:szCs w:val="19"/>
              </w:rPr>
              <w:t xml:space="preserve">Üretilen testlerin koştuğu sistemler; Swagger dokümanı buradan çekilir</w:t>
            </w:r>
          </w:p>
        </w:tc>
      </w:tr>
      <w:tr>
        <w:tc>
          <w:tcPr>
            <w:tcW w:type="dxa" w:w="2600"/>
            <w:tcMar>
              <w:top w:type="dxa" w:w="60"/>
              <w:left w:type="dxa" w:w="100"/>
              <w:bottom w:type="dxa" w:w="60"/>
              <w:right w:type="dxa" w:w="100"/>
            </w:tcMar>
          </w:tcPr>
          <w:p>
            <w:pPr>
              <w:spacing w:after="0"/>
            </w:pPr>
            <w:r>
              <w:rPr>
                <w:color w:val="1E293B"/>
                <w:sz w:val="19"/>
                <w:szCs w:val="19"/>
              </w:rPr>
              <w:t xml:space="preserve">Ollama (LLM Runtime)</w:t>
            </w:r>
          </w:p>
        </w:tc>
        <w:tc>
          <w:tcPr>
            <w:tcW w:type="dxa" w:w="900"/>
            <w:tcMar>
              <w:top w:type="dxa" w:w="60"/>
              <w:left w:type="dxa" w:w="100"/>
              <w:bottom w:type="dxa" w:w="60"/>
              <w:right w:type="dxa" w:w="100"/>
            </w:tcMar>
          </w:tcPr>
          <w:p>
            <w:pPr>
              <w:spacing w:after="0"/>
            </w:pPr>
            <w:r>
              <w:rPr>
                <w:color w:val="1E293B"/>
                <w:sz w:val="19"/>
                <w:szCs w:val="19"/>
              </w:rPr>
              <w:t xml:space="preserve">Dış</w:t>
            </w:r>
          </w:p>
        </w:tc>
        <w:tc>
          <w:tcPr>
            <w:tcW w:type="dxa" w:w="5500"/>
            <w:tcMar>
              <w:top w:type="dxa" w:w="60"/>
              <w:left w:type="dxa" w:w="100"/>
              <w:bottom w:type="dxa" w:w="60"/>
              <w:right w:type="dxa" w:w="100"/>
            </w:tcMar>
          </w:tcPr>
          <w:p>
            <w:pPr>
              <w:spacing w:after="0"/>
            </w:pPr>
            <w:r>
              <w:rPr>
                <w:color w:val="1E293B"/>
                <w:sz w:val="19"/>
                <w:szCs w:val="19"/>
              </w:rPr>
              <w:t xml:space="preserve">llama3.1 modeli; tüm üretim, analiz ve onarım çağrıları (host'ta yerel)</w:t>
            </w:r>
          </w:p>
        </w:tc>
      </w:tr>
      <w:tr>
        <w:tc>
          <w:tcPr>
            <w:tcW w:type="dxa" w:w="2600"/>
            <w:shd w:fill="F1F5F9" w:val="clear"/>
            <w:tcMar>
              <w:top w:type="dxa" w:w="60"/>
              <w:left w:type="dxa" w:w="100"/>
              <w:bottom w:type="dxa" w:w="60"/>
              <w:right w:type="dxa" w:w="100"/>
            </w:tcMar>
          </w:tcPr>
          <w:p>
            <w:pPr>
              <w:spacing w:after="0"/>
            </w:pPr>
            <w:r>
              <w:rPr>
                <w:color w:val="1E293B"/>
                <w:sz w:val="19"/>
                <w:szCs w:val="19"/>
              </w:rPr>
              <w:t xml:space="preserve">CI/CD (Jenkins)</w:t>
            </w:r>
          </w:p>
        </w:tc>
        <w:tc>
          <w:tcPr>
            <w:tcW w:type="dxa" w:w="900"/>
            <w:shd w:fill="F1F5F9" w:val="clear"/>
            <w:tcMar>
              <w:top w:type="dxa" w:w="60"/>
              <w:left w:type="dxa" w:w="100"/>
              <w:bottom w:type="dxa" w:w="60"/>
              <w:right w:type="dxa" w:w="100"/>
            </w:tcMar>
          </w:tcPr>
          <w:p>
            <w:pPr>
              <w:spacing w:after="0"/>
            </w:pPr>
            <w:r>
              <w:rPr>
                <w:color w:val="1E293B"/>
                <w:sz w:val="19"/>
                <w:szCs w:val="19"/>
              </w:rPr>
              <w:t xml:space="preserve">Dış</w:t>
            </w:r>
          </w:p>
        </w:tc>
        <w:tc>
          <w:tcPr>
            <w:tcW w:type="dxa" w:w="5500"/>
            <w:shd w:fill="F1F5F9" w:val="clear"/>
            <w:tcMar>
              <w:top w:type="dxa" w:w="60"/>
              <w:left w:type="dxa" w:w="100"/>
              <w:bottom w:type="dxa" w:w="60"/>
              <w:right w:type="dxa" w:w="100"/>
            </w:tcMar>
          </w:tcPr>
          <w:p>
            <w:pPr>
              <w:spacing w:after="0"/>
            </w:pPr>
            <w:r>
              <w:rPr>
                <w:color w:val="1E293B"/>
                <w:sz w:val="19"/>
                <w:szCs w:val="19"/>
              </w:rPr>
              <w:t xml:space="preserve">Pipeline'dan REST API ile test tetikleme; imaj build</w:t>
            </w:r>
          </w:p>
        </w:tc>
      </w:tr>
      <w:tr>
        <w:tc>
          <w:tcPr>
            <w:tcW w:type="dxa" w:w="2600"/>
            <w:tcMar>
              <w:top w:type="dxa" w:w="60"/>
              <w:left w:type="dxa" w:w="100"/>
              <w:bottom w:type="dxa" w:w="60"/>
              <w:right w:type="dxa" w:w="100"/>
            </w:tcMar>
          </w:tcPr>
          <w:p>
            <w:pPr>
              <w:spacing w:after="0"/>
            </w:pPr>
            <w:r>
              <w:rPr>
                <w:color w:val="1E293B"/>
                <w:sz w:val="19"/>
                <w:szCs w:val="19"/>
              </w:rPr>
              <w:t xml:space="preserve">SMTP (MailHog / kurumsal)</w:t>
            </w:r>
          </w:p>
        </w:tc>
        <w:tc>
          <w:tcPr>
            <w:tcW w:type="dxa" w:w="900"/>
            <w:tcMar>
              <w:top w:type="dxa" w:w="60"/>
              <w:left w:type="dxa" w:w="100"/>
              <w:bottom w:type="dxa" w:w="60"/>
              <w:right w:type="dxa" w:w="100"/>
            </w:tcMar>
          </w:tcPr>
          <w:p>
            <w:pPr>
              <w:spacing w:after="0"/>
            </w:pPr>
            <w:r>
              <w:rPr>
                <w:color w:val="1E293B"/>
                <w:sz w:val="19"/>
                <w:szCs w:val="19"/>
              </w:rPr>
              <w:t xml:space="preserve">Dış</w:t>
            </w:r>
          </w:p>
        </w:tc>
        <w:tc>
          <w:tcPr>
            <w:tcW w:type="dxa" w:w="5500"/>
            <w:tcMar>
              <w:top w:type="dxa" w:w="60"/>
              <w:left w:type="dxa" w:w="100"/>
              <w:bottom w:type="dxa" w:w="60"/>
              <w:right w:type="dxa" w:w="100"/>
            </w:tcMar>
          </w:tcPr>
          <w:p>
            <w:pPr>
              <w:spacing w:after="0"/>
            </w:pPr>
            <w:r>
              <w:rPr>
                <w:color w:val="1E293B"/>
                <w:sz w:val="19"/>
                <w:szCs w:val="19"/>
              </w:rPr>
              <w:t xml:space="preserve">Koşum sonuç raporlarının e-posta bildirimi</w:t>
            </w:r>
          </w:p>
        </w:tc>
      </w:tr>
    </w:tbl>
    <w:p>
      <w:pPr>
        <w:pStyle w:val="Heading1"/>
        <w:spacing w:after="140" w:before="320"/>
      </w:pPr>
      <w:r>
        <w:rPr>
          <w:b/>
          <w:bCs/>
          <w:color w:val="4338CA"/>
        </w:rPr>
        <w:t xml:space="preserve">3. Mimari Genel Bakış</w:t>
      </w:r>
    </w:p>
    <w:p>
      <w:pPr>
        <w:pStyle w:val="Heading2"/>
        <w:spacing w:after="110" w:before="260"/>
      </w:pPr>
      <w:r>
        <w:rPr>
          <w:b/>
          <w:bCs/>
          <w:color w:val="7C3AED"/>
        </w:rPr>
        <w:t xml:space="preserve">3.1 Mimari Stil: Katmanlı Modüler Monolit</w:t>
      </w:r>
    </w:p>
    <w:p>
      <w:pPr>
        <w:spacing w:after="100"/>
      </w:pPr>
      <w:r>
        <w:rPr>
          <w:color w:val="1E293B"/>
        </w:rPr>
        <w:t xml:space="preserve">Sistem tek bir Spring Boot uygulaması olarak tasarlanmıştır. Bu bilinçli bir karardır:</w:t>
      </w:r>
    </w:p>
    <w:p>
      <w:pPr>
        <w:pStyle w:val="ListParagraph"/>
        <w:numPr>
          <w:ilvl w:val="0"/>
          <w:numId w:val="2"/>
        </w:numPr>
        <w:spacing w:after="60"/>
      </w:pPr>
      <w:r>
        <w:rPr>
          <w:b/>
          <w:bCs/>
          <w:color w:val="1E293B"/>
        </w:rPr>
        <w:t xml:space="preserve">Operasyonel sadelik: </w:t>
      </w:r>
      <w:r>
        <w:rPr>
          <w:color w:val="1E293B"/>
        </w:rPr>
        <w:t xml:space="preserve">Tek artefakt, tek deployment; QA platformu için mikroservis karmaşıklığı gereksiz yüktür.</w:t>
      </w:r>
    </w:p>
    <w:p>
      <w:pPr>
        <w:pStyle w:val="ListParagraph"/>
        <w:numPr>
          <w:ilvl w:val="0"/>
          <w:numId w:val="2"/>
        </w:numPr>
        <w:spacing w:after="60"/>
      </w:pPr>
      <w:r>
        <w:rPr>
          <w:b/>
          <w:bCs/>
          <w:color w:val="1E293B"/>
        </w:rPr>
        <w:t xml:space="preserve">Transaction bütünlüğü: </w:t>
      </w:r>
      <w:r>
        <w:rPr>
          <w:color w:val="1E293B"/>
        </w:rPr>
        <w:t xml:space="preserve">İstek → üretim → koşum → heal zinciri aynı süreçte, aynı veritabanında tutarlı yönetilir.</w:t>
      </w:r>
    </w:p>
    <w:p>
      <w:pPr>
        <w:pStyle w:val="ListParagraph"/>
        <w:numPr>
          <w:ilvl w:val="0"/>
          <w:numId w:val="2"/>
        </w:numPr>
        <w:spacing w:after="60"/>
      </w:pPr>
      <w:r>
        <w:rPr>
          <w:b/>
          <w:bCs/>
          <w:color w:val="1E293B"/>
        </w:rPr>
        <w:t xml:space="preserve">Modül sınırları paket seviyesinde korunur: </w:t>
      </w:r>
      <w:r>
        <w:rPr>
          <w:color w:val="1E293B"/>
        </w:rPr>
        <w:t xml:space="preserve">agent, generator, runner, comparer, scheduler, llm paketleri arasında bağımlılık yönü bellidir; gerekirse ileride servis olarak ayrıştırılabilir.</w:t>
      </w:r>
    </w:p>
    <w:p>
      <w:pPr>
        <w:pStyle w:val="Heading2"/>
        <w:spacing w:after="110" w:before="260"/>
      </w:pPr>
      <w:r>
        <w:rPr>
          <w:b/>
          <w:bCs/>
          <w:color w:val="7C3AED"/>
        </w:rPr>
        <w:t xml:space="preserve">3.2 Katmanlar</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1500"/>
        <w:gridCol w:w="3800"/>
        <w:gridCol w:w="3700"/>
      </w:tblGrid>
      <w:tr>
        <w:trPr>
          <w:tblHeader/>
        </w:trPr>
        <w:tc>
          <w:tcPr>
            <w:tcW w:type="dxa" w:w="1500"/>
            <w:shd w:fill="312E81" w:val="clear"/>
            <w:tcMar>
              <w:top w:type="dxa" w:w="60"/>
              <w:left w:type="dxa" w:w="100"/>
              <w:bottom w:type="dxa" w:w="60"/>
              <w:right w:type="dxa" w:w="100"/>
            </w:tcMar>
          </w:tcPr>
          <w:p>
            <w:pPr>
              <w:spacing w:after="0"/>
            </w:pPr>
            <w:r>
              <w:rPr>
                <w:b/>
                <w:bCs/>
                <w:color w:val="FFFFFF"/>
                <w:sz w:val="19"/>
                <w:szCs w:val="19"/>
              </w:rPr>
              <w:t xml:space="preserve">Katman</w:t>
            </w:r>
          </w:p>
        </w:tc>
        <w:tc>
          <w:tcPr>
            <w:tcW w:type="dxa" w:w="3800"/>
            <w:shd w:fill="312E81" w:val="clear"/>
            <w:tcMar>
              <w:top w:type="dxa" w:w="60"/>
              <w:left w:type="dxa" w:w="100"/>
              <w:bottom w:type="dxa" w:w="60"/>
              <w:right w:type="dxa" w:w="100"/>
            </w:tcMar>
          </w:tcPr>
          <w:p>
            <w:pPr>
              <w:spacing w:after="0"/>
            </w:pPr>
            <w:r>
              <w:rPr>
                <w:b/>
                <w:bCs/>
                <w:color w:val="FFFFFF"/>
                <w:sz w:val="19"/>
                <w:szCs w:val="19"/>
              </w:rPr>
              <w:t xml:space="preserve">İçerik</w:t>
            </w:r>
          </w:p>
        </w:tc>
        <w:tc>
          <w:tcPr>
            <w:tcW w:type="dxa" w:w="3700"/>
            <w:shd w:fill="312E81" w:val="clear"/>
            <w:tcMar>
              <w:top w:type="dxa" w:w="60"/>
              <w:left w:type="dxa" w:w="100"/>
              <w:bottom w:type="dxa" w:w="60"/>
              <w:right w:type="dxa" w:w="100"/>
            </w:tcMar>
          </w:tcPr>
          <w:p>
            <w:pPr>
              <w:spacing w:after="0"/>
            </w:pPr>
            <w:r>
              <w:rPr>
                <w:b/>
                <w:bCs/>
                <w:color w:val="FFFFFF"/>
                <w:sz w:val="19"/>
                <w:szCs w:val="19"/>
              </w:rPr>
              <w:t xml:space="preserve">Sorumluluk</w:t>
            </w:r>
          </w:p>
        </w:tc>
      </w:tr>
      <w:tr>
        <w:tc>
          <w:tcPr>
            <w:tcW w:type="dxa" w:w="1500"/>
            <w:tcMar>
              <w:top w:type="dxa" w:w="60"/>
              <w:left w:type="dxa" w:w="100"/>
              <w:bottom w:type="dxa" w:w="60"/>
              <w:right w:type="dxa" w:w="100"/>
            </w:tcMar>
          </w:tcPr>
          <w:p>
            <w:pPr>
              <w:spacing w:after="0"/>
            </w:pPr>
            <w:r>
              <w:rPr>
                <w:color w:val="1E293B"/>
                <w:sz w:val="19"/>
                <w:szCs w:val="19"/>
              </w:rPr>
              <w:t xml:space="preserve">Sunum</w:t>
            </w:r>
          </w:p>
        </w:tc>
        <w:tc>
          <w:tcPr>
            <w:tcW w:type="dxa" w:w="3800"/>
            <w:tcMar>
              <w:top w:type="dxa" w:w="60"/>
              <w:left w:type="dxa" w:w="100"/>
              <w:bottom w:type="dxa" w:w="60"/>
              <w:right w:type="dxa" w:w="100"/>
            </w:tcMar>
          </w:tcPr>
          <w:p>
            <w:pPr>
              <w:spacing w:after="0"/>
            </w:pPr>
            <w:r>
              <w:rPr>
                <w:color w:val="1E293B"/>
                <w:sz w:val="19"/>
                <w:szCs w:val="19"/>
              </w:rPr>
              <w:t xml:space="preserve">Thymeleaf şablonları (dashboard, comparer, llm-report), Swagger UI</w:t>
            </w:r>
          </w:p>
        </w:tc>
        <w:tc>
          <w:tcPr>
            <w:tcW w:type="dxa" w:w="3700"/>
            <w:tcMar>
              <w:top w:type="dxa" w:w="60"/>
              <w:left w:type="dxa" w:w="100"/>
              <w:bottom w:type="dxa" w:w="60"/>
              <w:right w:type="dxa" w:w="100"/>
            </w:tcMar>
          </w:tcPr>
          <w:p>
            <w:pPr>
              <w:spacing w:after="0"/>
            </w:pPr>
            <w:r>
              <w:rPr>
                <w:color w:val="1E293B"/>
                <w:sz w:val="19"/>
                <w:szCs w:val="19"/>
              </w:rPr>
              <w:t xml:space="preserve">Kullanıcı etkileşimi; SSR — ayrı frontend build'i yok</w:t>
            </w:r>
          </w:p>
        </w:tc>
      </w:tr>
      <w:tr>
        <w:tc>
          <w:tcPr>
            <w:tcW w:type="dxa" w:w="1500"/>
            <w:shd w:fill="F1F5F9" w:val="clear"/>
            <w:tcMar>
              <w:top w:type="dxa" w:w="60"/>
              <w:left w:type="dxa" w:w="100"/>
              <w:bottom w:type="dxa" w:w="60"/>
              <w:right w:type="dxa" w:w="100"/>
            </w:tcMar>
          </w:tcPr>
          <w:p>
            <w:pPr>
              <w:spacing w:after="0"/>
            </w:pPr>
            <w:r>
              <w:rPr>
                <w:color w:val="1E293B"/>
                <w:sz w:val="19"/>
                <w:szCs w:val="19"/>
              </w:rPr>
              <w:t xml:space="preserve">API</w:t>
            </w:r>
          </w:p>
        </w:tc>
        <w:tc>
          <w:tcPr>
            <w:tcW w:type="dxa" w:w="3800"/>
            <w:shd w:fill="F1F5F9" w:val="clear"/>
            <w:tcMar>
              <w:top w:type="dxa" w:w="60"/>
              <w:left w:type="dxa" w:w="100"/>
              <w:bottom w:type="dxa" w:w="60"/>
              <w:right w:type="dxa" w:w="100"/>
            </w:tcMar>
          </w:tcPr>
          <w:p>
            <w:pPr>
              <w:spacing w:after="0"/>
            </w:pPr>
            <w:r>
              <w:rPr>
                <w:color w:val="1E293B"/>
                <w:sz w:val="19"/>
                <w:szCs w:val="19"/>
              </w:rPr>
              <w:t xml:space="preserve">10 controller, 27 REST endpoint (/api/v1/**)</w:t>
            </w:r>
          </w:p>
        </w:tc>
        <w:tc>
          <w:tcPr>
            <w:tcW w:type="dxa" w:w="3700"/>
            <w:shd w:fill="F1F5F9" w:val="clear"/>
            <w:tcMar>
              <w:top w:type="dxa" w:w="60"/>
              <w:left w:type="dxa" w:w="100"/>
              <w:bottom w:type="dxa" w:w="60"/>
              <w:right w:type="dxa" w:w="100"/>
            </w:tcMar>
          </w:tcPr>
          <w:p>
            <w:pPr>
              <w:spacing w:after="0"/>
            </w:pPr>
            <w:r>
              <w:rPr>
                <w:color w:val="1E293B"/>
                <w:sz w:val="19"/>
                <w:szCs w:val="19"/>
              </w:rPr>
              <w:t xml:space="preserve">Doğrulama, DTO dönüşümü, async akış tetikleme</w:t>
            </w:r>
          </w:p>
        </w:tc>
      </w:tr>
      <w:tr>
        <w:tc>
          <w:tcPr>
            <w:tcW w:type="dxa" w:w="1500"/>
            <w:tcMar>
              <w:top w:type="dxa" w:w="60"/>
              <w:left w:type="dxa" w:w="100"/>
              <w:bottom w:type="dxa" w:w="60"/>
              <w:right w:type="dxa" w:w="100"/>
            </w:tcMar>
          </w:tcPr>
          <w:p>
            <w:pPr>
              <w:spacing w:after="0"/>
            </w:pPr>
            <w:r>
              <w:rPr>
                <w:color w:val="1E293B"/>
                <w:sz w:val="19"/>
                <w:szCs w:val="19"/>
              </w:rPr>
              <w:t xml:space="preserve">Servis</w:t>
            </w:r>
          </w:p>
        </w:tc>
        <w:tc>
          <w:tcPr>
            <w:tcW w:type="dxa" w:w="3800"/>
            <w:tcMar>
              <w:top w:type="dxa" w:w="60"/>
              <w:left w:type="dxa" w:w="100"/>
              <w:bottom w:type="dxa" w:w="60"/>
              <w:right w:type="dxa" w:w="100"/>
            </w:tcMar>
          </w:tcPr>
          <w:p>
            <w:pPr>
              <w:spacing w:after="0"/>
            </w:pPr>
            <w:r>
              <w:rPr>
                <w:color w:val="1E293B"/>
                <w:sz w:val="19"/>
                <w:szCs w:val="19"/>
              </w:rPr>
              <w:t xml:space="preserve">Orchestrator, Generator'lar, Runner, FailureAnalysis, Learning, Comparison, Report</w:t>
            </w:r>
          </w:p>
        </w:tc>
        <w:tc>
          <w:tcPr>
            <w:tcW w:type="dxa" w:w="3700"/>
            <w:tcMar>
              <w:top w:type="dxa" w:w="60"/>
              <w:left w:type="dxa" w:w="100"/>
              <w:bottom w:type="dxa" w:w="60"/>
              <w:right w:type="dxa" w:w="100"/>
            </w:tcMar>
          </w:tcPr>
          <w:p>
            <w:pPr>
              <w:spacing w:after="0"/>
            </w:pPr>
            <w:r>
              <w:rPr>
                <w:color w:val="1E293B"/>
                <w:sz w:val="19"/>
                <w:szCs w:val="19"/>
              </w:rPr>
              <w:t xml:space="preserve">İş mantığı; LLM ve altyapı soyutlamaları üzerinden çalışır</w:t>
            </w:r>
          </w:p>
        </w:tc>
      </w:tr>
      <w:tr>
        <w:tc>
          <w:tcPr>
            <w:tcW w:type="dxa" w:w="1500"/>
            <w:shd w:fill="F1F5F9" w:val="clear"/>
            <w:tcMar>
              <w:top w:type="dxa" w:w="60"/>
              <w:left w:type="dxa" w:w="100"/>
              <w:bottom w:type="dxa" w:w="60"/>
              <w:right w:type="dxa" w:w="100"/>
            </w:tcMar>
          </w:tcPr>
          <w:p>
            <w:pPr>
              <w:spacing w:after="0"/>
            </w:pPr>
            <w:r>
              <w:rPr>
                <w:color w:val="1E293B"/>
                <w:sz w:val="19"/>
                <w:szCs w:val="19"/>
              </w:rPr>
              <w:t xml:space="preserve">Entegrasyon</w:t>
            </w:r>
          </w:p>
        </w:tc>
        <w:tc>
          <w:tcPr>
            <w:tcW w:type="dxa" w:w="3800"/>
            <w:shd w:fill="F1F5F9" w:val="clear"/>
            <w:tcMar>
              <w:top w:type="dxa" w:w="60"/>
              <w:left w:type="dxa" w:w="100"/>
              <w:bottom w:type="dxa" w:w="60"/>
              <w:right w:type="dxa" w:w="100"/>
            </w:tcMar>
          </w:tcPr>
          <w:p>
            <w:pPr>
              <w:spacing w:after="0"/>
            </w:pPr>
            <w:r>
              <w:rPr>
                <w:color w:val="1E293B"/>
                <w:sz w:val="19"/>
                <w:szCs w:val="19"/>
              </w:rPr>
              <w:t xml:space="preserve">LlmService (Ollama/OpenAI), HttpClient, JavaMail, Selenium Grid</w:t>
            </w:r>
          </w:p>
        </w:tc>
        <w:tc>
          <w:tcPr>
            <w:tcW w:type="dxa" w:w="3700"/>
            <w:shd w:fill="F1F5F9" w:val="clear"/>
            <w:tcMar>
              <w:top w:type="dxa" w:w="60"/>
              <w:left w:type="dxa" w:w="100"/>
              <w:bottom w:type="dxa" w:w="60"/>
              <w:right w:type="dxa" w:w="100"/>
            </w:tcMar>
          </w:tcPr>
          <w:p>
            <w:pPr>
              <w:spacing w:after="0"/>
            </w:pPr>
            <w:r>
              <w:rPr>
                <w:color w:val="1E293B"/>
                <w:sz w:val="19"/>
                <w:szCs w:val="19"/>
              </w:rPr>
              <w:t xml:space="preserve">Dış sistem adaptörleri</w:t>
            </w:r>
          </w:p>
        </w:tc>
      </w:tr>
      <w:tr>
        <w:tc>
          <w:tcPr>
            <w:tcW w:type="dxa" w:w="1500"/>
            <w:tcMar>
              <w:top w:type="dxa" w:w="60"/>
              <w:left w:type="dxa" w:w="100"/>
              <w:bottom w:type="dxa" w:w="60"/>
              <w:right w:type="dxa" w:w="100"/>
            </w:tcMar>
          </w:tcPr>
          <w:p>
            <w:pPr>
              <w:spacing w:after="0"/>
            </w:pPr>
            <w:r>
              <w:rPr>
                <w:color w:val="1E293B"/>
                <w:sz w:val="19"/>
                <w:szCs w:val="19"/>
              </w:rPr>
              <w:t xml:space="preserve">Veri</w:t>
            </w:r>
          </w:p>
        </w:tc>
        <w:tc>
          <w:tcPr>
            <w:tcW w:type="dxa" w:w="3800"/>
            <w:tcMar>
              <w:top w:type="dxa" w:w="60"/>
              <w:left w:type="dxa" w:w="100"/>
              <w:bottom w:type="dxa" w:w="60"/>
              <w:right w:type="dxa" w:w="100"/>
            </w:tcMar>
          </w:tcPr>
          <w:p>
            <w:pPr>
              <w:spacing w:after="0"/>
            </w:pPr>
            <w:r>
              <w:rPr>
                <w:color w:val="1E293B"/>
                <w:sz w:val="19"/>
                <w:szCs w:val="19"/>
              </w:rPr>
              <w:t xml:space="preserve">Spring Data JPA, 6 tablo (PostgreSQL / H2)</w:t>
            </w:r>
          </w:p>
        </w:tc>
        <w:tc>
          <w:tcPr>
            <w:tcW w:type="dxa" w:w="3700"/>
            <w:tcMar>
              <w:top w:type="dxa" w:w="60"/>
              <w:left w:type="dxa" w:w="100"/>
              <w:bottom w:type="dxa" w:w="60"/>
              <w:right w:type="dxa" w:w="100"/>
            </w:tcMar>
          </w:tcPr>
          <w:p>
            <w:pPr>
              <w:spacing w:after="0"/>
            </w:pPr>
            <w:r>
              <w:rPr>
                <w:color w:val="1E293B"/>
                <w:sz w:val="19"/>
                <w:szCs w:val="19"/>
              </w:rPr>
              <w:t xml:space="preserve">Kalıcılık, sorgu, telemetri</w:t>
            </w:r>
          </w:p>
        </w:tc>
      </w:tr>
    </w:tbl>
    <w:p>
      <w:pPr>
        <w:pStyle w:val="Heading1"/>
        <w:spacing w:after="140" w:before="320"/>
      </w:pPr>
      <w:r>
        <w:rPr>
          <w:b/>
          <w:bCs/>
          <w:color w:val="4338CA"/>
        </w:rPr>
        <w:t xml:space="preserve">4. Ana Bileşenler</w:t>
      </w:r>
    </w:p>
    <w:p>
      <w:pPr>
        <w:pStyle w:val="Heading2"/>
        <w:spacing w:after="110" w:before="260"/>
      </w:pPr>
      <w:r>
        <w:rPr>
          <w:b/>
          <w:bCs/>
          <w:color w:val="7C3AED"/>
        </w:rPr>
        <w:t xml:space="preserve">4.1 Multi-Agent Orkestrasyonu</w:t>
      </w:r>
    </w:p>
    <w:p>
      <w:pPr>
        <w:spacing w:after="100"/>
      </w:pPr>
      <w:r>
        <w:rPr>
          <w:rFonts w:ascii="Courier New" w:cs="Courier New" w:eastAsia="Courier New" w:hAnsi="Courier New"/>
          <w:color w:val="1E293B"/>
          <w:sz w:val="19"/>
          <w:szCs w:val="19"/>
        </w:rPr>
        <w:t xml:space="preserve">AiAgentOrchestratorService</w:t>
      </w:r>
      <w:r>
        <w:rPr>
          <w:color w:val="1E293B"/>
        </w:rPr>
        <w:t xml:space="preserve">, LangChain4j AiServices ile bir </w:t>
      </w:r>
      <w:r>
        <w:rPr>
          <w:b/>
          <w:bCs/>
          <w:color w:val="1E293B"/>
        </w:rPr>
        <w:t xml:space="preserve">Supervisor Agent</w:t>
      </w:r>
      <w:r>
        <w:rPr>
          <w:color w:val="1E293B"/>
        </w:rPr>
        <w:t xml:space="preserve"> kurar. Supervisor, 8 uzman ajanı (Product Manager, Developer, Test Analyst, Test Automation, Performance, SecOps, DevOps, Report) native tool-calling ile araç olarak çağırır ve nihai Test Planı Raporu'nu üretir.</w:t>
      </w:r>
    </w:p>
    <w:p>
      <w:pPr>
        <w:pStyle w:val="ListParagraph"/>
        <w:numPr>
          <w:ilvl w:val="0"/>
          <w:numId w:val="2"/>
        </w:numPr>
        <w:spacing w:after="60"/>
      </w:pPr>
      <w:r>
        <w:rPr>
          <w:b/>
          <w:bCs/>
          <w:color w:val="1E293B"/>
        </w:rPr>
        <w:t xml:space="preserve">Yönlendirme Planı: </w:t>
      </w:r>
      <w:r>
        <w:rPr>
          <w:color w:val="1E293B"/>
        </w:rPr>
        <w:t xml:space="preserve">İstek tipine göre (BACKEND_API / FRONTEND_WEB, user story ve raw payload varlığı) ajanlar ZORUNLU / ÖNERİLEN / GEREKSİZ olarak işaretlenir. Gereksiz LLM çağrıları ve konu dışı halüsinasyon engellenir.</w:t>
      </w:r>
    </w:p>
    <w:p>
      <w:pPr>
        <w:spacing w:after="120"/>
      </w:pPr>
      <w:r>
        <w:rPr>
          <w:b/>
          <w:bCs/>
          <w:color w:val="1E293B"/>
        </w:rPr>
        <w:t xml:space="preserve">Mod ve kayıt: </w:t>
      </w:r>
      <w:r>
        <w:rPr>
          <w:color w:val="1E293B"/>
        </w:rPr>
        <w:t xml:space="preserve">AgentRouting iki mod tanır — LEAN (varsayılan) yalnızca çıktısı üretimde doğrudan kullanılan ajanları koşar; FULL önerilenleri ve Report ajanını da ekler. Sekiz rolün tamamı yalnızca FULL modda devreye girer; her ajan en az bir LLM çağrısıdır ve bu bilinçli bir maliyet kararıdır. Rol→implementasyon eşlemesi AiAgentRegistry'de tutulur: bir rol için kayıt yoksa veya aynı role iki bean kayıtlıysa uygulama AÇILIŞTA durur — eksik ajan artık üretimin ortasında değil, başlangıçta fark edilir.</w:t>
      </w:r>
    </w:p>
    <w:p>
      <w:pPr>
        <w:pStyle w:val="ListParagraph"/>
        <w:numPr>
          <w:ilvl w:val="0"/>
          <w:numId w:val="2"/>
        </w:numPr>
        <w:spacing w:after="60"/>
      </w:pPr>
      <w:r>
        <w:rPr>
          <w:b/>
          <w:bCs/>
          <w:color w:val="1E293B"/>
        </w:rPr>
        <w:t xml:space="preserve">Sıralı Fallback: </w:t>
      </w:r>
      <w:r>
        <w:rPr>
          <w:color w:val="1E293B"/>
        </w:rPr>
        <w:t xml:space="preserve">Tool-calling başarısız olursa (model desteği yok, LLM kesintisi) zorunlu ajanlar deterministik sırayla koşulur. Tek ajanın hatası zinciri durdurmaz. Üretim hattı LLM orkestrasyon hatasıyla asla bloklanmaz.</w:t>
      </w:r>
    </w:p>
    <w:p>
      <w:pPr>
        <w:pStyle w:val="ListParagraph"/>
        <w:numPr>
          <w:ilvl w:val="0"/>
          <w:numId w:val="2"/>
        </w:numPr>
        <w:spacing w:after="60"/>
      </w:pPr>
      <w:r>
        <w:rPr>
          <w:b/>
          <w:bCs/>
          <w:color w:val="1E293B"/>
        </w:rPr>
        <w:t xml:space="preserve">Kalıcılık: </w:t>
      </w:r>
      <w:r>
        <w:rPr>
          <w:color w:val="1E293B"/>
        </w:rPr>
        <w:t xml:space="preserve">Her ajan çıktısı agent_analyses tablosuna rol bazında yazılır; rapor ekranı buradan beslenir.</w:t>
      </w:r>
    </w:p>
    <w:p>
      <w:pPr>
        <w:pStyle w:val="Heading2"/>
        <w:spacing w:after="110" w:before="260"/>
      </w:pPr>
      <w:r>
        <w:rPr>
          <w:b/>
          <w:bCs/>
          <w:color w:val="7C3AED"/>
        </w:rPr>
        <w:t xml:space="preserve">4.2 Test Üretim Hattı</w:t>
      </w:r>
    </w:p>
    <w:p>
      <w:pPr>
        <w:pStyle w:val="ListParagraph"/>
        <w:numPr>
          <w:ilvl w:val="0"/>
          <w:numId w:val="3"/>
        </w:numPr>
        <w:spacing w:after="60"/>
      </w:pPr>
      <w:r>
        <w:rPr>
          <w:color w:val="1E293B"/>
        </w:rPr>
        <w:t xml:space="preserve">Gözlem (ölçüm): Hedefe kullanıcının verdiği isteğin AYNISI gönderilir — aynı metot, aynı başlıklar, aynı gövde. Dönen status, gövde ve GEÇEN SÜRE ölçülür ve isteğe kanıt olarak iliştirilir. Aracın kendi keşfettiği uçlar (Swagger taraması) yalnızca yan etkisiz problanır.</w:t>
      </w:r>
    </w:p>
    <w:p>
      <w:pPr>
        <w:pStyle w:val="ListParagraph"/>
        <w:numPr>
          <w:ilvl w:val="0"/>
          <w:numId w:val="3"/>
        </w:numPr>
        <w:spacing w:after="60"/>
      </w:pPr>
      <w:r>
        <w:rPr>
          <w:color w:val="1E293B"/>
        </w:rPr>
        <w:t xml:space="preserve">Girdi çözümleme: Swagger URL'i OpenAPI parser ile endpoint'lere ayrıştırılır; ham payload'lar (cURL/Postman/HAR/GraphQL/SOAP) özel parser'larla normalize edilir.</w:t>
      </w:r>
    </w:p>
    <w:p>
      <w:pPr>
        <w:pStyle w:val="ListParagraph"/>
        <w:numPr>
          <w:ilvl w:val="0"/>
          <w:numId w:val="3"/>
        </w:numPr>
        <w:spacing w:after="60"/>
      </w:pPr>
      <w:r>
        <w:rPr>
          <w:color w:val="1E293B"/>
        </w:rPr>
        <w:t xml:space="preserve">Bağlam zenginleştirme: Öğrenme dersleri (SERVICE LEARNINGS) + Supervisor ajan analizi + AI test datası additionalContext'e sırayla eklenir.</w:t>
      </w:r>
    </w:p>
    <w:p>
      <w:pPr>
        <w:pStyle w:val="ListParagraph"/>
        <w:numPr>
          <w:ilvl w:val="0"/>
          <w:numId w:val="3"/>
        </w:numPr>
        <w:spacing w:after="60"/>
      </w:pPr>
      <w:r>
        <w:rPr>
          <w:color w:val="1E293B"/>
        </w:rPr>
        <w:t xml:space="preserve">LLM üretimi: ISTQB kurallı prompt şablonları (EP, BVA, DT, ST, EG teknikleri zorunlu) ile framework'e özgü kod üretilir.</w:t>
      </w:r>
    </w:p>
    <w:p>
      <w:pPr>
        <w:pStyle w:val="ListParagraph"/>
        <w:numPr>
          <w:ilvl w:val="0"/>
          <w:numId w:val="3"/>
        </w:numPr>
        <w:spacing w:after="60"/>
      </w:pPr>
      <w:r>
        <w:rPr>
          <w:color w:val="1E293B"/>
        </w:rPr>
        <w:t xml:space="preserve">Deterministik temizlik (CodeCleaner): markdown fence/açıklama metni ayıklama, Gherkin tag normalizasyonu, JUnit 4→5 dönüşümü, package ve sınıf adı garantisi.</w:t>
      </w:r>
    </w:p>
    <w:p>
      <w:pPr>
        <w:pStyle w:val="ListParagraph"/>
        <w:numPr>
          <w:ilvl w:val="0"/>
          <w:numId w:val="3"/>
        </w:numPr>
        <w:spacing w:after="60"/>
      </w:pPr>
      <w:r>
        <w:rPr>
          <w:color w:val="1E293B"/>
        </w:rPr>
        <w:t xml:space="preserve">Üretim kapısı (TestContentGate): Her case DB'ye YAZILMADAN ÖNCE makineyle doğrulanır (Karate parse / Java derleme). Geçemezse hata modele geri verilip yeniden üretilir; yine geçemezse içerik atılmaz, gerekçesiyle INVALID işaretlenir.</w:t>
      </w:r>
    </w:p>
    <w:p>
      <w:pPr>
        <w:pStyle w:val="ListParagraph"/>
        <w:numPr>
          <w:ilvl w:val="0"/>
          <w:numId w:val="3"/>
        </w:numPr>
        <w:spacing w:after="60"/>
      </w:pPr>
      <w:r>
        <w:rPr>
          <w:color w:val="1E293B"/>
        </w:rPr>
        <w:t xml:space="preserve">Sınıflandırma (TestCaseClassifier): kategori, test seviyesi ve ISTQB tasarım tekniği atanır.</w:t>
      </w:r>
    </w:p>
    <w:p>
      <w:pPr>
        <w:pStyle w:val="ListParagraph"/>
        <w:numPr>
          <w:ilvl w:val="0"/>
          <w:numId w:val="3"/>
        </w:numPr>
        <w:spacing w:after="60"/>
      </w:pPr>
      <w:r>
        <w:rPr>
          <w:color w:val="1E293B"/>
        </w:rPr>
        <w:t xml:space="preserve">Kalıcılık: test case DB'ye ve diske yazılır; LLM çağrısı telemetri olarak loglanır.</w:t>
      </w:r>
    </w:p>
    <w:p>
      <w:pPr>
        <w:spacing w:after="100"/>
      </w:pPr>
      <w:r>
        <w:rPr>
          <w:b/>
          <w:bCs/>
          <w:color w:val="1E293B"/>
        </w:rPr>
        <w:t xml:space="preserve">Tasarım ilkesi: </w:t>
      </w:r>
      <w:r>
        <w:rPr>
          <w:color w:val="1E293B"/>
        </w:rPr>
        <w:t xml:space="preserve">LLM çıktısına asla doğrudan güvenilmez — derlenebilirlik ve parse edilebilirlik kural tabanlı normalizasyonla kodda garanti edilir. Bu kuralların tamamı canlı koşumlarda yakalanan gerçek hatalardan türetilmiştir. Buna ek olarak ölçülemeyen değer üretilmez: hedef verildiği hâlde gözlem yapılamadıysa üretim reddedilir (FAILED), çünkü ölçüme dayanmayan test doğruladığı sanılan ama hiçbir şey kanıtlamayan bir testtir. Bu kural NoFabricatedContentTest ile derlemeye bağlıdır.</w:t>
      </w:r>
    </w:p>
    <w:p>
      <w:pPr>
        <w:pStyle w:val="Heading2"/>
        <w:spacing w:after="110" w:before="260"/>
      </w:pPr>
      <w:r>
        <w:rPr>
          <w:b/>
          <w:bCs/>
          <w:color w:val="7C3AED"/>
        </w:rPr>
        <w:t xml:space="preserve">4.3 Koşum ve Self-Healing</w:t>
      </w:r>
    </w:p>
    <w:p>
      <w:pPr>
        <w:pStyle w:val="ListParagraph"/>
        <w:numPr>
          <w:ilvl w:val="0"/>
          <w:numId w:val="2"/>
        </w:numPr>
        <w:spacing w:after="60"/>
      </w:pPr>
      <w:r>
        <w:rPr>
          <w:color w:val="1E293B"/>
        </w:rPr>
        <w:t xml:space="preserve">Karate testleri in-process Runner API ile (Maven süreci gerekmez); REST Assured ve Selenium testleri üretilmiş bağımsız Maven projelerinde alt süreç olarak koşar.</w:t>
      </w:r>
    </w:p>
    <w:p>
      <w:pPr>
        <w:pStyle w:val="ListParagraph"/>
        <w:numPr>
          <w:ilvl w:val="0"/>
          <w:numId w:val="2"/>
        </w:numPr>
        <w:spacing w:after="60"/>
      </w:pPr>
      <w:r>
        <w:rPr>
          <w:color w:val="1E293B"/>
        </w:rPr>
        <w:t xml:space="preserve">Selenium koşumları sabit DriverFactory üzerinden: Grid tanımlıysa RemoteWebDriver (compose'daki selenium-hub), yoksa lokal headless Chrome.</w:t>
      </w:r>
    </w:p>
    <w:p>
      <w:pPr>
        <w:pStyle w:val="ListParagraph"/>
        <w:numPr>
          <w:ilvl w:val="0"/>
          <w:numId w:val="2"/>
        </w:numPr>
        <w:spacing w:after="60"/>
      </w:pPr>
      <w:r>
        <w:rPr>
          <w:color w:val="1E293B"/>
        </w:rPr>
        <w:t xml:space="preserve">FAILED test → FailureAnalysisService: orijinal kod + hata çıktısı LLM'e gönderilir, düzeltilmiş versiyon aynı dosya üzerine yazılır (javac sınıf-adı kuralı ve çift dosya koşumunu önleme); soyağacı parentCaseId + superseded alanlarıyla DB'de izlenir.</w:t>
      </w:r>
    </w:p>
    <w:p>
      <w:pPr>
        <w:pStyle w:val="ListParagraph"/>
        <w:numPr>
          <w:ilvl w:val="0"/>
          <w:numId w:val="2"/>
        </w:numPr>
        <w:spacing w:after="60"/>
      </w:pPr>
      <w:r>
        <w:rPr>
          <w:color w:val="1E293B"/>
        </w:rPr>
        <w:t xml:space="preserve">Sonsuz döngü koruması: max-heal-attempts=3; yeni versiyon parent'ın deneme sayısını devralır.</w:t>
      </w:r>
    </w:p>
    <w:p>
      <w:pPr>
        <w:pStyle w:val="Heading2"/>
        <w:spacing w:after="110" w:before="260"/>
      </w:pPr>
      <w:r>
        <w:rPr>
          <w:b/>
          <w:bCs/>
          <w:color w:val="7C3AED"/>
        </w:rPr>
        <w:t xml:space="preserve">4.4 Öğrenme Deposu (Halüsinasyon Azaltma)</w:t>
      </w:r>
    </w:p>
    <w:p>
      <w:pPr>
        <w:spacing w:after="100"/>
      </w:pPr>
      <w:r>
        <w:rPr>
          <w:color w:val="1E293B"/>
        </w:rPr>
        <w:t xml:space="preserve">Her koşum hatası ve self-heal olayı, hedef servisin host'u (serviceKey) altında kısa bir ders olarak agent_learnings tablosuna yazılır. Aynı servise yönelik sonraki üretimlerde son 10 ders prompt bağlamına enjekte edilir. Böylece LLM aynı hatalı varsayımı (yanlış status kodu, olmayan alan, kırılgan selector) tekrarlamaz. Dedup mekanizması aynı dersin birikmesini önler; ders yazım hatası ana akışı asla durdurmaz (best-effort).</w:t>
      </w:r>
    </w:p>
    <w:p>
      <w:pPr>
        <w:pStyle w:val="Heading2"/>
        <w:spacing w:after="110" w:before="260"/>
      </w:pPr>
      <w:r>
        <w:rPr>
          <w:b/>
          <w:bCs/>
          <w:color w:val="7C3AED"/>
        </w:rPr>
        <w:t xml:space="preserve">4.5 Endpoint Comparer</w:t>
      </w:r>
    </w:p>
    <w:p>
      <w:pPr>
        <w:spacing w:after="100"/>
      </w:pPr>
      <w:r>
        <w:rPr>
          <w:color w:val="1E293B"/>
        </w:rPr>
        <w:t xml:space="preserve">Aynı HTTP isteğini iki base URL'e paralel gönderir; status, gövde ve gecikme farklarını alan seviyesinde raporlar. JSON gövdeler recursive diff'lenir (VALUE_MISMATCH, TYPE_MISMATCH, MISSING_IN_A/B, ARRAY_LENGTH_MISMATCH); dinamik alanlar ignore listesiyle bastırılır. Kullanım senaryoları: legacy→yeni migrasyon doğrulama, blue/green karşılaştırma, staging↔prod kayma tespiti. Koşum geçmişi comparison_runs tablosunda saklanır.</w:t>
      </w:r>
    </w:p>
    <w:p>
      <w:pPr>
        <w:pStyle w:val="Heading2"/>
        <w:spacing w:after="110" w:before="260"/>
      </w:pPr>
      <w:r>
        <w:rPr>
          <w:b/>
          <w:bCs/>
          <w:color w:val="7C3AED"/>
        </w:rPr>
        <w:t xml:space="preserve">4.6 Raporlama ve Zamanlayıcı</w:t>
      </w:r>
    </w:p>
    <w:p>
      <w:pPr>
        <w:pStyle w:val="ListParagraph"/>
        <w:numPr>
          <w:ilvl w:val="0"/>
          <w:numId w:val="2"/>
        </w:numPr>
        <w:spacing w:after="60"/>
      </w:pPr>
      <w:r>
        <w:rPr>
          <w:color w:val="1E293B"/>
        </w:rPr>
        <w:t xml:space="preserve">ReportOrchestrator: koşum sonrası Allure raporu derler, Cucumber JSON+HTML üretir, e-posta bildirimi gönderir.</w:t>
      </w:r>
    </w:p>
    <w:p>
      <w:pPr>
        <w:pStyle w:val="ListParagraph"/>
        <w:numPr>
          <w:ilvl w:val="0"/>
          <w:numId w:val="2"/>
        </w:numPr>
        <w:spacing w:after="60"/>
      </w:pPr>
      <w:r>
        <w:rPr>
          <w:color w:val="1E293B"/>
        </w:rPr>
        <w:t xml:space="preserve">DailySchedulerService: her gece 02:00'de işaretli istekleri koşar; başarısızlar otomatik heal edilir.</w:t>
      </w:r>
    </w:p>
    <w:p>
      <w:pPr>
        <w:pStyle w:val="Heading1"/>
        <w:spacing w:after="140" w:before="320"/>
      </w:pPr>
      <w:r>
        <w:rPr>
          <w:b/>
          <w:bCs/>
          <w:color w:val="4338CA"/>
        </w:rPr>
        <w:t xml:space="preserve">5. Veri Mimarisi</w:t>
      </w:r>
    </w:p>
    <w:p>
      <w:pPr>
        <w:spacing w:after="100"/>
      </w:pPr>
      <w:r>
        <w:rPr>
          <w:color w:val="1E293B"/>
        </w:rPr>
        <w:t xml:space="preserve">PostgreSQL 16 (docker profili) / H2 dosya (local profil). Şema Hibernate ddl-auto: update ile yönetilir; Flyway'e geçiş yol haritasındadır (bkz. Bölüm 9).</w:t>
      </w:r>
    </w:p>
    <w:p>
      <w:pPr>
        <w:spacing w:after="120"/>
      </w:pPr>
      <w:r>
        <w:rPr>
          <w:b/>
          <w:bCs/>
          <w:color w:val="1E293B"/>
        </w:rPr>
        <w:t xml:space="preserve">Gözlem kanıtı ve korelasyon alanları: </w:t>
      </w:r>
      <w:r>
        <w:rPr>
          <w:color w:val="1E293B"/>
        </w:rPr>
        <w:t xml:space="preserve">test_generation_requests tablosu üretilen testin neye dayandığını saklar: observed_request_line, observed_status, observed_duration_ms, observed_body, observation_skip_reason ve observed_at. llm_call_logs tablosuna ise request_id ve phase (GENERATION · VALIDATION_REPAIR · SELF_HEAL · BENCHMARK · RUNNER) eklendi; böylece bir üretimin kaç çağrıya, kaç saniyeye ve kaç token'a mal olduğu ölçülebilir. Korelasyon bilinmiyorsa alan boş kalır, uydurulmaz.</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700"/>
        <w:gridCol w:w="4100"/>
        <w:gridCol w:w="2200"/>
      </w:tblGrid>
      <w:tr>
        <w:trPr>
          <w:tblHeader/>
        </w:trPr>
        <w:tc>
          <w:tcPr>
            <w:tcW w:type="dxa" w:w="2700"/>
            <w:shd w:fill="312E81" w:val="clear"/>
            <w:tcMar>
              <w:top w:type="dxa" w:w="60"/>
              <w:left w:type="dxa" w:w="100"/>
              <w:bottom w:type="dxa" w:w="60"/>
              <w:right w:type="dxa" w:w="100"/>
            </w:tcMar>
          </w:tcPr>
          <w:p>
            <w:pPr>
              <w:spacing w:after="0"/>
            </w:pPr>
            <w:r>
              <w:rPr>
                <w:b/>
                <w:bCs/>
                <w:color w:val="FFFFFF"/>
                <w:sz w:val="19"/>
                <w:szCs w:val="19"/>
              </w:rPr>
              <w:t xml:space="preserve">Tablo</w:t>
            </w:r>
          </w:p>
        </w:tc>
        <w:tc>
          <w:tcPr>
            <w:tcW w:type="dxa" w:w="4100"/>
            <w:shd w:fill="312E81" w:val="clear"/>
            <w:tcMar>
              <w:top w:type="dxa" w:w="60"/>
              <w:left w:type="dxa" w:w="100"/>
              <w:bottom w:type="dxa" w:w="60"/>
              <w:right w:type="dxa" w:w="100"/>
            </w:tcMar>
          </w:tcPr>
          <w:p>
            <w:pPr>
              <w:spacing w:after="0"/>
            </w:pPr>
            <w:r>
              <w:rPr>
                <w:b/>
                <w:bCs/>
                <w:color w:val="FFFFFF"/>
                <w:sz w:val="19"/>
                <w:szCs w:val="19"/>
              </w:rPr>
              <w:t xml:space="preserve">İçerik</w:t>
            </w:r>
          </w:p>
        </w:tc>
        <w:tc>
          <w:tcPr>
            <w:tcW w:type="dxa" w:w="2200"/>
            <w:shd w:fill="312E81" w:val="clear"/>
            <w:tcMar>
              <w:top w:type="dxa" w:w="60"/>
              <w:left w:type="dxa" w:w="100"/>
              <w:bottom w:type="dxa" w:w="60"/>
              <w:right w:type="dxa" w:w="100"/>
            </w:tcMar>
          </w:tcPr>
          <w:p>
            <w:pPr>
              <w:spacing w:after="0"/>
            </w:pPr>
            <w:r>
              <w:rPr>
                <w:b/>
                <w:bCs/>
                <w:color w:val="FFFFFF"/>
                <w:sz w:val="19"/>
                <w:szCs w:val="19"/>
              </w:rPr>
              <w:t xml:space="preserve">Anahtar İlişki</w:t>
            </w:r>
          </w:p>
        </w:tc>
      </w:tr>
      <w:tr>
        <w:tc>
          <w:tcPr>
            <w:tcW w:type="dxa" w:w="2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test_generation_requests</w:t>
            </w:r>
          </w:p>
        </w:tc>
        <w:tc>
          <w:tcPr>
            <w:tcW w:type="dxa" w:w="4100"/>
            <w:tcMar>
              <w:top w:type="dxa" w:w="60"/>
              <w:left w:type="dxa" w:w="100"/>
              <w:bottom w:type="dxa" w:w="60"/>
              <w:right w:type="dxa" w:w="100"/>
            </w:tcMar>
          </w:tcPr>
          <w:p>
            <w:pPr>
              <w:spacing w:after="0"/>
            </w:pPr>
            <w:r>
              <w:rPr>
                <w:color w:val="1E293B"/>
                <w:sz w:val="19"/>
                <w:szCs w:val="19"/>
              </w:rPr>
              <w:t xml:space="preserve">Kullanıcı istekleri: tip, framework, girdiler, durum, scheduler alanları</w:t>
            </w:r>
          </w:p>
        </w:tc>
        <w:tc>
          <w:tcPr>
            <w:tcW w:type="dxa" w:w="2200"/>
            <w:tcMar>
              <w:top w:type="dxa" w:w="60"/>
              <w:left w:type="dxa" w:w="100"/>
              <w:bottom w:type="dxa" w:w="60"/>
              <w:right w:type="dxa" w:w="100"/>
            </w:tcMar>
          </w:tcPr>
          <w:p>
            <w:pPr>
              <w:spacing w:after="0"/>
            </w:pPr>
            <w:r>
              <w:rPr>
                <w:color w:val="1E293B"/>
                <w:sz w:val="19"/>
                <w:szCs w:val="19"/>
              </w:rPr>
              <w:t xml:space="preserve">kök varlık (UUID)</w:t>
            </w:r>
          </w:p>
        </w:tc>
      </w:tr>
      <w:tr>
        <w:tc>
          <w:tcPr>
            <w:tcW w:type="dxa" w:w="2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generated_test_cases</w:t>
            </w:r>
          </w:p>
        </w:tc>
        <w:tc>
          <w:tcPr>
            <w:tcW w:type="dxa" w:w="4100"/>
            <w:shd w:fill="F1F5F9" w:val="clear"/>
            <w:tcMar>
              <w:top w:type="dxa" w:w="60"/>
              <w:left w:type="dxa" w:w="100"/>
              <w:bottom w:type="dxa" w:w="60"/>
              <w:right w:type="dxa" w:w="100"/>
            </w:tcMar>
          </w:tcPr>
          <w:p>
            <w:pPr>
              <w:spacing w:after="0"/>
            </w:pPr>
            <w:r>
              <w:rPr>
                <w:color w:val="1E293B"/>
                <w:sz w:val="19"/>
                <w:szCs w:val="19"/>
              </w:rPr>
              <w:t xml:space="preserve">Üretilen testler: içerik, koşum sonuçları, heal soyağacı</w:t>
            </w:r>
          </w:p>
        </w:tc>
        <w:tc>
          <w:tcPr>
            <w:tcW w:type="dxa" w:w="2200"/>
            <w:shd w:fill="F1F5F9" w:val="clear"/>
            <w:tcMar>
              <w:top w:type="dxa" w:w="60"/>
              <w:left w:type="dxa" w:w="100"/>
              <w:bottom w:type="dxa" w:w="60"/>
              <w:right w:type="dxa" w:w="100"/>
            </w:tcMar>
          </w:tcPr>
          <w:p>
            <w:pPr>
              <w:spacing w:after="0"/>
            </w:pPr>
            <w:r>
              <w:rPr>
                <w:color w:val="1E293B"/>
                <w:sz w:val="19"/>
                <w:szCs w:val="19"/>
              </w:rPr>
              <w:t xml:space="preserve">request_id FK; parentCaseId self-ref</w:t>
            </w:r>
          </w:p>
        </w:tc>
      </w:tr>
      <w:tr>
        <w:tc>
          <w:tcPr>
            <w:tcW w:type="dxa" w:w="2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llm_call_logs</w:t>
            </w:r>
          </w:p>
        </w:tc>
        <w:tc>
          <w:tcPr>
            <w:tcW w:type="dxa" w:w="4100"/>
            <w:tcMar>
              <w:top w:type="dxa" w:w="60"/>
              <w:left w:type="dxa" w:w="100"/>
              <w:bottom w:type="dxa" w:w="60"/>
              <w:right w:type="dxa" w:w="100"/>
            </w:tcMar>
          </w:tcPr>
          <w:p>
            <w:pPr>
              <w:spacing w:after="0"/>
            </w:pPr>
            <w:r>
              <w:rPr>
                <w:color w:val="1E293B"/>
                <w:sz w:val="19"/>
                <w:szCs w:val="19"/>
              </w:rPr>
              <w:t xml:space="preserve">Her LLM çağrısı: model, callType, süre, boyutlar, başarı</w:t>
            </w:r>
          </w:p>
        </w:tc>
        <w:tc>
          <w:tcPr>
            <w:tcW w:type="dxa" w:w="2200"/>
            <w:tcMar>
              <w:top w:type="dxa" w:w="60"/>
              <w:left w:type="dxa" w:w="100"/>
              <w:bottom w:type="dxa" w:w="60"/>
              <w:right w:type="dxa" w:w="100"/>
            </w:tcMar>
          </w:tcPr>
          <w:p>
            <w:pPr>
              <w:spacing w:after="0"/>
            </w:pPr>
            <w:r>
              <w:rPr>
                <w:color w:val="1E293B"/>
                <w:sz w:val="19"/>
                <w:szCs w:val="19"/>
              </w:rPr>
              <w:t xml:space="preserve">bağımsız (callType ile analiz)</w:t>
            </w:r>
          </w:p>
        </w:tc>
      </w:tr>
      <w:tr>
        <w:tc>
          <w:tcPr>
            <w:tcW w:type="dxa" w:w="2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agent_analyses</w:t>
            </w:r>
          </w:p>
        </w:tc>
        <w:tc>
          <w:tcPr>
            <w:tcW w:type="dxa" w:w="4100"/>
            <w:shd w:fill="F1F5F9" w:val="clear"/>
            <w:tcMar>
              <w:top w:type="dxa" w:w="60"/>
              <w:left w:type="dxa" w:w="100"/>
              <w:bottom w:type="dxa" w:w="60"/>
              <w:right w:type="dxa" w:w="100"/>
            </w:tcMar>
          </w:tcPr>
          <w:p>
            <w:pPr>
              <w:spacing w:after="0"/>
            </w:pPr>
            <w:r>
              <w:rPr>
                <w:color w:val="1E293B"/>
                <w:sz w:val="19"/>
                <w:szCs w:val="19"/>
              </w:rPr>
              <w:t xml:space="preserve">Ajan çıktıları rol bazında</w:t>
            </w:r>
          </w:p>
        </w:tc>
        <w:tc>
          <w:tcPr>
            <w:tcW w:type="dxa" w:w="2200"/>
            <w:shd w:fill="F1F5F9" w:val="clear"/>
            <w:tcMar>
              <w:top w:type="dxa" w:w="60"/>
              <w:left w:type="dxa" w:w="100"/>
              <w:bottom w:type="dxa" w:w="60"/>
              <w:right w:type="dxa" w:w="100"/>
            </w:tcMar>
          </w:tcPr>
          <w:p>
            <w:pPr>
              <w:spacing w:after="0"/>
            </w:pPr>
            <w:r>
              <w:rPr>
                <w:color w:val="1E293B"/>
                <w:sz w:val="19"/>
                <w:szCs w:val="19"/>
              </w:rPr>
              <w:t xml:space="preserve">requestId (soft ref)</w:t>
            </w:r>
          </w:p>
        </w:tc>
      </w:tr>
      <w:tr>
        <w:tc>
          <w:tcPr>
            <w:tcW w:type="dxa" w:w="2700"/>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comparison_runs</w:t>
            </w:r>
          </w:p>
        </w:tc>
        <w:tc>
          <w:tcPr>
            <w:tcW w:type="dxa" w:w="4100"/>
            <w:tcMar>
              <w:top w:type="dxa" w:w="60"/>
              <w:left w:type="dxa" w:w="100"/>
              <w:bottom w:type="dxa" w:w="60"/>
              <w:right w:type="dxa" w:w="100"/>
            </w:tcMar>
          </w:tcPr>
          <w:p>
            <w:pPr>
              <w:spacing w:after="0"/>
            </w:pPr>
            <w:r>
              <w:rPr>
                <w:color w:val="1E293B"/>
                <w:sz w:val="19"/>
                <w:szCs w:val="19"/>
              </w:rPr>
              <w:t xml:space="preserve">Comparer koşum geçmişi + tam sonuç JSON'u</w:t>
            </w:r>
          </w:p>
        </w:tc>
        <w:tc>
          <w:tcPr>
            <w:tcW w:type="dxa" w:w="2200"/>
            <w:tcMar>
              <w:top w:type="dxa" w:w="60"/>
              <w:left w:type="dxa" w:w="100"/>
              <w:bottom w:type="dxa" w:w="60"/>
              <w:right w:type="dxa" w:w="100"/>
            </w:tcMar>
          </w:tcPr>
          <w:p>
            <w:pPr>
              <w:spacing w:after="0"/>
            </w:pPr>
            <w:r>
              <w:rPr>
                <w:color w:val="1E293B"/>
                <w:sz w:val="19"/>
                <w:szCs w:val="19"/>
              </w:rPr>
              <w:t xml:space="preserve">bağımsız</w:t>
            </w:r>
          </w:p>
        </w:tc>
      </w:tr>
      <w:tr>
        <w:tc>
          <w:tcPr>
            <w:tcW w:type="dxa" w:w="2700"/>
            <w:shd w:fill="F1F5F9" w:val="clear"/>
            <w:tcMar>
              <w:top w:type="dxa" w:w="60"/>
              <w:left w:type="dxa" w:w="100"/>
              <w:bottom w:type="dxa" w:w="60"/>
              <w:right w:type="dxa" w:w="100"/>
            </w:tcMar>
          </w:tcPr>
          <w:p>
            <w:pPr>
              <w:spacing w:after="0"/>
            </w:pPr>
            <w:r>
              <w:rPr>
                <w:rFonts w:ascii="Courier New" w:cs="Courier New" w:eastAsia="Courier New" w:hAnsi="Courier New"/>
                <w:color w:val="1E293B"/>
                <w:sz w:val="19"/>
                <w:szCs w:val="19"/>
              </w:rPr>
              <w:t xml:space="preserve">agent_learnings</w:t>
            </w:r>
          </w:p>
        </w:tc>
        <w:tc>
          <w:tcPr>
            <w:tcW w:type="dxa" w:w="4100"/>
            <w:shd w:fill="F1F5F9" w:val="clear"/>
            <w:tcMar>
              <w:top w:type="dxa" w:w="60"/>
              <w:left w:type="dxa" w:w="100"/>
              <w:bottom w:type="dxa" w:w="60"/>
              <w:right w:type="dxa" w:w="100"/>
            </w:tcMar>
          </w:tcPr>
          <w:p>
            <w:pPr>
              <w:spacing w:after="0"/>
            </w:pPr>
            <w:r>
              <w:rPr>
                <w:color w:val="1E293B"/>
                <w:sz w:val="19"/>
                <w:szCs w:val="19"/>
              </w:rPr>
              <w:t xml:space="preserve">Servis bazlı dersler (RUN_FAILURE / SELF_HEAL)</w:t>
            </w:r>
          </w:p>
        </w:tc>
        <w:tc>
          <w:tcPr>
            <w:tcW w:type="dxa" w:w="2200"/>
            <w:shd w:fill="F1F5F9" w:val="clear"/>
            <w:tcMar>
              <w:top w:type="dxa" w:w="60"/>
              <w:left w:type="dxa" w:w="100"/>
              <w:bottom w:type="dxa" w:w="60"/>
              <w:right w:type="dxa" w:w="100"/>
            </w:tcMar>
          </w:tcPr>
          <w:p>
            <w:pPr>
              <w:spacing w:after="0"/>
            </w:pPr>
            <w:r>
              <w:rPr>
                <w:color w:val="1E293B"/>
                <w:sz w:val="19"/>
                <w:szCs w:val="19"/>
              </w:rPr>
              <w:t xml:space="preserve">serviceKey (host) ile gruplanır</w:t>
            </w:r>
          </w:p>
        </w:tc>
      </w:tr>
    </w:tbl>
    <w:p>
      <w:pPr>
        <w:pStyle w:val="Heading1"/>
        <w:spacing w:after="140" w:before="320"/>
      </w:pPr>
      <w:r>
        <w:rPr>
          <w:b/>
          <w:bCs/>
          <w:color w:val="4338CA"/>
        </w:rPr>
        <w:t xml:space="preserve">6. Dağıtım Mimarisi</w:t>
      </w:r>
    </w:p>
    <w:p>
      <w:pPr>
        <w:pStyle w:val="Heading2"/>
        <w:spacing w:after="110" w:before="260"/>
      </w:pPr>
      <w:r>
        <w:rPr>
          <w:b/>
          <w:bCs/>
          <w:color w:val="7C3AED"/>
        </w:rPr>
        <w:t xml:space="preserve">6.1 Docker Compose (Referans Ortam)</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1700"/>
        <w:gridCol w:w="3000"/>
        <w:gridCol w:w="900"/>
        <w:gridCol w:w="3400"/>
      </w:tblGrid>
      <w:tr>
        <w:trPr>
          <w:tblHeader/>
        </w:trPr>
        <w:tc>
          <w:tcPr>
            <w:tcW w:type="dxa" w:w="1700"/>
            <w:shd w:fill="312E81" w:val="clear"/>
            <w:tcMar>
              <w:top w:type="dxa" w:w="60"/>
              <w:left w:type="dxa" w:w="100"/>
              <w:bottom w:type="dxa" w:w="60"/>
              <w:right w:type="dxa" w:w="100"/>
            </w:tcMar>
          </w:tcPr>
          <w:p>
            <w:pPr>
              <w:spacing w:after="0"/>
            </w:pPr>
            <w:r>
              <w:rPr>
                <w:b/>
                <w:bCs/>
                <w:color w:val="FFFFFF"/>
                <w:sz w:val="19"/>
                <w:szCs w:val="19"/>
              </w:rPr>
              <w:t xml:space="preserve">Servis</w:t>
            </w:r>
          </w:p>
        </w:tc>
        <w:tc>
          <w:tcPr>
            <w:tcW w:type="dxa" w:w="3000"/>
            <w:shd w:fill="312E81" w:val="clear"/>
            <w:tcMar>
              <w:top w:type="dxa" w:w="60"/>
              <w:left w:type="dxa" w:w="100"/>
              <w:bottom w:type="dxa" w:w="60"/>
              <w:right w:type="dxa" w:w="100"/>
            </w:tcMar>
          </w:tcPr>
          <w:p>
            <w:pPr>
              <w:spacing w:after="0"/>
            </w:pPr>
            <w:r>
              <w:rPr>
                <w:b/>
                <w:bCs/>
                <w:color w:val="FFFFFF"/>
                <w:sz w:val="19"/>
                <w:szCs w:val="19"/>
              </w:rPr>
              <w:t xml:space="preserve">İmaj</w:t>
            </w:r>
          </w:p>
        </w:tc>
        <w:tc>
          <w:tcPr>
            <w:tcW w:type="dxa" w:w="900"/>
            <w:shd w:fill="312E81" w:val="clear"/>
            <w:tcMar>
              <w:top w:type="dxa" w:w="60"/>
              <w:left w:type="dxa" w:w="100"/>
              <w:bottom w:type="dxa" w:w="60"/>
              <w:right w:type="dxa" w:w="100"/>
            </w:tcMar>
          </w:tcPr>
          <w:p>
            <w:pPr>
              <w:spacing w:after="0"/>
            </w:pPr>
            <w:r>
              <w:rPr>
                <w:b/>
                <w:bCs/>
                <w:color w:val="FFFFFF"/>
                <w:sz w:val="19"/>
                <w:szCs w:val="19"/>
              </w:rPr>
              <w:t xml:space="preserve">Port</w:t>
            </w:r>
          </w:p>
        </w:tc>
        <w:tc>
          <w:tcPr>
            <w:tcW w:type="dxa" w:w="3400"/>
            <w:shd w:fill="312E81" w:val="clear"/>
            <w:tcMar>
              <w:top w:type="dxa" w:w="60"/>
              <w:left w:type="dxa" w:w="100"/>
              <w:bottom w:type="dxa" w:w="60"/>
              <w:right w:type="dxa" w:w="100"/>
            </w:tcMar>
          </w:tcPr>
          <w:p>
            <w:pPr>
              <w:spacing w:after="0"/>
            </w:pPr>
            <w:r>
              <w:rPr>
                <w:b/>
                <w:bCs/>
                <w:color w:val="FFFFFF"/>
                <w:sz w:val="19"/>
                <w:szCs w:val="19"/>
              </w:rPr>
              <w:t xml:space="preserve">Görev</w:t>
            </w:r>
          </w:p>
        </w:tc>
      </w:tr>
      <w:tr>
        <w:tc>
          <w:tcPr>
            <w:tcW w:type="dxa" w:w="1700"/>
            <w:tcMar>
              <w:top w:type="dxa" w:w="60"/>
              <w:left w:type="dxa" w:w="100"/>
              <w:bottom w:type="dxa" w:w="60"/>
              <w:right w:type="dxa" w:w="100"/>
            </w:tcMar>
          </w:tcPr>
          <w:p>
            <w:pPr>
              <w:spacing w:after="0"/>
            </w:pPr>
            <w:r>
              <w:rPr>
                <w:color w:val="1E293B"/>
                <w:sz w:val="19"/>
                <w:szCs w:val="19"/>
              </w:rPr>
              <w:t xml:space="preserve">app</w:t>
            </w:r>
          </w:p>
        </w:tc>
        <w:tc>
          <w:tcPr>
            <w:tcW w:type="dxa" w:w="3000"/>
            <w:tcMar>
              <w:top w:type="dxa" w:w="60"/>
              <w:left w:type="dxa" w:w="100"/>
              <w:bottom w:type="dxa" w:w="60"/>
              <w:right w:type="dxa" w:w="100"/>
            </w:tcMar>
          </w:tcPr>
          <w:p>
            <w:pPr>
              <w:spacing w:after="0"/>
            </w:pPr>
            <w:r>
              <w:rPr>
                <w:color w:val="1E293B"/>
                <w:sz w:val="19"/>
                <w:szCs w:val="19"/>
              </w:rPr>
              <w:t xml:space="preserve">ai-test-generator (multi-stage)</w:t>
            </w:r>
          </w:p>
        </w:tc>
        <w:tc>
          <w:tcPr>
            <w:tcW w:type="dxa" w:w="900"/>
            <w:tcMar>
              <w:top w:type="dxa" w:w="60"/>
              <w:left w:type="dxa" w:w="100"/>
              <w:bottom w:type="dxa" w:w="60"/>
              <w:right w:type="dxa" w:w="100"/>
            </w:tcMar>
          </w:tcPr>
          <w:p>
            <w:pPr>
              <w:spacing w:after="0"/>
            </w:pPr>
            <w:r>
              <w:rPr>
                <w:color w:val="1E293B"/>
                <w:sz w:val="19"/>
                <w:szCs w:val="19"/>
              </w:rPr>
              <w:t xml:space="preserve">8080</w:t>
            </w:r>
          </w:p>
        </w:tc>
        <w:tc>
          <w:tcPr>
            <w:tcW w:type="dxa" w:w="3400"/>
            <w:tcMar>
              <w:top w:type="dxa" w:w="60"/>
              <w:left w:type="dxa" w:w="100"/>
              <w:bottom w:type="dxa" w:w="60"/>
              <w:right w:type="dxa" w:w="100"/>
            </w:tcMar>
          </w:tcPr>
          <w:p>
            <w:pPr>
              <w:spacing w:after="0"/>
            </w:pPr>
            <w:r>
              <w:rPr>
                <w:color w:val="1E293B"/>
                <w:sz w:val="19"/>
                <w:szCs w:val="19"/>
              </w:rPr>
              <w:t xml:space="preserve">Platform; SPRING_PROFILES_ACTIVE=docker → PostgreSQL</w:t>
            </w:r>
          </w:p>
        </w:tc>
      </w:tr>
      <w:tr>
        <w:tc>
          <w:tcPr>
            <w:tcW w:type="dxa" w:w="1700"/>
            <w:shd w:fill="F1F5F9" w:val="clear"/>
            <w:tcMar>
              <w:top w:type="dxa" w:w="60"/>
              <w:left w:type="dxa" w:w="100"/>
              <w:bottom w:type="dxa" w:w="60"/>
              <w:right w:type="dxa" w:w="100"/>
            </w:tcMar>
          </w:tcPr>
          <w:p>
            <w:pPr>
              <w:spacing w:after="0"/>
            </w:pPr>
            <w:r>
              <w:rPr>
                <w:color w:val="1E293B"/>
                <w:sz w:val="19"/>
                <w:szCs w:val="19"/>
              </w:rPr>
              <w:t xml:space="preserve">postgres</w:t>
            </w:r>
          </w:p>
        </w:tc>
        <w:tc>
          <w:tcPr>
            <w:tcW w:type="dxa" w:w="3000"/>
            <w:shd w:fill="F1F5F9" w:val="clear"/>
            <w:tcMar>
              <w:top w:type="dxa" w:w="60"/>
              <w:left w:type="dxa" w:w="100"/>
              <w:bottom w:type="dxa" w:w="60"/>
              <w:right w:type="dxa" w:w="100"/>
            </w:tcMar>
          </w:tcPr>
          <w:p>
            <w:pPr>
              <w:spacing w:after="0"/>
            </w:pPr>
            <w:r>
              <w:rPr>
                <w:color w:val="1E293B"/>
                <w:sz w:val="19"/>
                <w:szCs w:val="19"/>
              </w:rPr>
              <w:t xml:space="preserve">postgres:16-alpine</w:t>
            </w:r>
          </w:p>
        </w:tc>
        <w:tc>
          <w:tcPr>
            <w:tcW w:type="dxa" w:w="900"/>
            <w:shd w:fill="F1F5F9" w:val="clear"/>
            <w:tcMar>
              <w:top w:type="dxa" w:w="60"/>
              <w:left w:type="dxa" w:w="100"/>
              <w:bottom w:type="dxa" w:w="60"/>
              <w:right w:type="dxa" w:w="100"/>
            </w:tcMar>
          </w:tcPr>
          <w:p>
            <w:pPr>
              <w:spacing w:after="0"/>
            </w:pPr>
            <w:r>
              <w:rPr>
                <w:color w:val="1E293B"/>
                <w:sz w:val="19"/>
                <w:szCs w:val="19"/>
              </w:rPr>
              <w:t xml:space="preserve">5432</w:t>
            </w:r>
          </w:p>
        </w:tc>
        <w:tc>
          <w:tcPr>
            <w:tcW w:type="dxa" w:w="3400"/>
            <w:shd w:fill="F1F5F9" w:val="clear"/>
            <w:tcMar>
              <w:top w:type="dxa" w:w="60"/>
              <w:left w:type="dxa" w:w="100"/>
              <w:bottom w:type="dxa" w:w="60"/>
              <w:right w:type="dxa" w:w="100"/>
            </w:tcMar>
          </w:tcPr>
          <w:p>
            <w:pPr>
              <w:spacing w:after="0"/>
            </w:pPr>
            <w:r>
              <w:rPr>
                <w:color w:val="1E293B"/>
                <w:sz w:val="19"/>
                <w:szCs w:val="19"/>
              </w:rPr>
              <w:t xml:space="preserve">Kalıcı veri (named volume)</w:t>
            </w:r>
          </w:p>
        </w:tc>
      </w:tr>
      <w:tr>
        <w:tc>
          <w:tcPr>
            <w:tcW w:type="dxa" w:w="1700"/>
            <w:tcMar>
              <w:top w:type="dxa" w:w="60"/>
              <w:left w:type="dxa" w:w="100"/>
              <w:bottom w:type="dxa" w:w="60"/>
              <w:right w:type="dxa" w:w="100"/>
            </w:tcMar>
          </w:tcPr>
          <w:p>
            <w:pPr>
              <w:spacing w:after="0"/>
            </w:pPr>
            <w:r>
              <w:rPr>
                <w:color w:val="1E293B"/>
                <w:sz w:val="19"/>
                <w:szCs w:val="19"/>
              </w:rPr>
              <w:t xml:space="preserve">selenium-hub + chrome</w:t>
            </w:r>
          </w:p>
        </w:tc>
        <w:tc>
          <w:tcPr>
            <w:tcW w:type="dxa" w:w="3000"/>
            <w:tcMar>
              <w:top w:type="dxa" w:w="60"/>
              <w:left w:type="dxa" w:w="100"/>
              <w:bottom w:type="dxa" w:w="60"/>
              <w:right w:type="dxa" w:w="100"/>
            </w:tcMar>
          </w:tcPr>
          <w:p>
            <w:pPr>
              <w:spacing w:after="0"/>
            </w:pPr>
            <w:r>
              <w:rPr>
                <w:color w:val="1E293B"/>
                <w:sz w:val="19"/>
                <w:szCs w:val="19"/>
              </w:rPr>
              <w:t xml:space="preserve">selenium/hub, node-chrome 4.18</w:t>
            </w:r>
          </w:p>
        </w:tc>
        <w:tc>
          <w:tcPr>
            <w:tcW w:type="dxa" w:w="900"/>
            <w:tcMar>
              <w:top w:type="dxa" w:w="60"/>
              <w:left w:type="dxa" w:w="100"/>
              <w:bottom w:type="dxa" w:w="60"/>
              <w:right w:type="dxa" w:w="100"/>
            </w:tcMar>
          </w:tcPr>
          <w:p>
            <w:pPr>
              <w:spacing w:after="0"/>
            </w:pPr>
            <w:r>
              <w:rPr>
                <w:color w:val="1E293B"/>
                <w:sz w:val="19"/>
                <w:szCs w:val="19"/>
              </w:rPr>
              <w:t xml:space="preserve">4444</w:t>
            </w:r>
          </w:p>
        </w:tc>
        <w:tc>
          <w:tcPr>
            <w:tcW w:type="dxa" w:w="3400"/>
            <w:tcMar>
              <w:top w:type="dxa" w:w="60"/>
              <w:left w:type="dxa" w:w="100"/>
              <w:bottom w:type="dxa" w:w="60"/>
              <w:right w:type="dxa" w:w="100"/>
            </w:tcMar>
          </w:tcPr>
          <w:p>
            <w:pPr>
              <w:spacing w:after="0"/>
            </w:pPr>
            <w:r>
              <w:rPr>
                <w:color w:val="1E293B"/>
                <w:sz w:val="19"/>
                <w:szCs w:val="19"/>
              </w:rPr>
              <w:t xml:space="preserve">Gerçek tarayıcı koşumları</w:t>
            </w:r>
          </w:p>
        </w:tc>
      </w:tr>
      <w:tr>
        <w:tc>
          <w:tcPr>
            <w:tcW w:type="dxa" w:w="1700"/>
            <w:shd w:fill="F1F5F9" w:val="clear"/>
            <w:tcMar>
              <w:top w:type="dxa" w:w="60"/>
              <w:left w:type="dxa" w:w="100"/>
              <w:bottom w:type="dxa" w:w="60"/>
              <w:right w:type="dxa" w:w="100"/>
            </w:tcMar>
          </w:tcPr>
          <w:p>
            <w:pPr>
              <w:spacing w:after="0"/>
            </w:pPr>
            <w:r>
              <w:rPr>
                <w:color w:val="1E293B"/>
                <w:sz w:val="19"/>
                <w:szCs w:val="19"/>
              </w:rPr>
              <w:t xml:space="preserve">mailhog</w:t>
            </w:r>
          </w:p>
        </w:tc>
        <w:tc>
          <w:tcPr>
            <w:tcW w:type="dxa" w:w="3000"/>
            <w:shd w:fill="F1F5F9" w:val="clear"/>
            <w:tcMar>
              <w:top w:type="dxa" w:w="60"/>
              <w:left w:type="dxa" w:w="100"/>
              <w:bottom w:type="dxa" w:w="60"/>
              <w:right w:type="dxa" w:w="100"/>
            </w:tcMar>
          </w:tcPr>
          <w:p>
            <w:pPr>
              <w:spacing w:after="0"/>
            </w:pPr>
            <w:r>
              <w:rPr>
                <w:color w:val="1E293B"/>
                <w:sz w:val="19"/>
                <w:szCs w:val="19"/>
              </w:rPr>
              <w:t xml:space="preserve">mailhog/mailhog</w:t>
            </w:r>
          </w:p>
        </w:tc>
        <w:tc>
          <w:tcPr>
            <w:tcW w:type="dxa" w:w="900"/>
            <w:shd w:fill="F1F5F9" w:val="clear"/>
            <w:tcMar>
              <w:top w:type="dxa" w:w="60"/>
              <w:left w:type="dxa" w:w="100"/>
              <w:bottom w:type="dxa" w:w="60"/>
              <w:right w:type="dxa" w:w="100"/>
            </w:tcMar>
          </w:tcPr>
          <w:p>
            <w:pPr>
              <w:spacing w:after="0"/>
            </w:pPr>
            <w:r>
              <w:rPr>
                <w:color w:val="1E293B"/>
                <w:sz w:val="19"/>
                <w:szCs w:val="19"/>
              </w:rPr>
              <w:t xml:space="preserve">8025</w:t>
            </w:r>
          </w:p>
        </w:tc>
        <w:tc>
          <w:tcPr>
            <w:tcW w:type="dxa" w:w="3400"/>
            <w:shd w:fill="F1F5F9" w:val="clear"/>
            <w:tcMar>
              <w:top w:type="dxa" w:w="60"/>
              <w:left w:type="dxa" w:w="100"/>
              <w:bottom w:type="dxa" w:w="60"/>
              <w:right w:type="dxa" w:w="100"/>
            </w:tcMar>
          </w:tcPr>
          <w:p>
            <w:pPr>
              <w:spacing w:after="0"/>
            </w:pPr>
            <w:r>
              <w:rPr>
                <w:color w:val="1E293B"/>
                <w:sz w:val="19"/>
                <w:szCs w:val="19"/>
              </w:rPr>
              <w:t xml:space="preserve">Geliştirme SMTP + web önizleme</w:t>
            </w:r>
          </w:p>
        </w:tc>
      </w:tr>
      <w:tr>
        <w:tc>
          <w:tcPr>
            <w:tcW w:type="dxa" w:w="1700"/>
            <w:tcMar>
              <w:top w:type="dxa" w:w="60"/>
              <w:left w:type="dxa" w:w="100"/>
              <w:bottom w:type="dxa" w:w="60"/>
              <w:right w:type="dxa" w:w="100"/>
            </w:tcMar>
          </w:tcPr>
          <w:p>
            <w:pPr>
              <w:spacing w:after="0"/>
            </w:pPr>
            <w:r>
              <w:rPr>
                <w:color w:val="1E293B"/>
                <w:sz w:val="19"/>
                <w:szCs w:val="19"/>
              </w:rPr>
              <w:t xml:space="preserve">allure-server</w:t>
            </w:r>
          </w:p>
        </w:tc>
        <w:tc>
          <w:tcPr>
            <w:tcW w:type="dxa" w:w="3000"/>
            <w:tcMar>
              <w:top w:type="dxa" w:w="60"/>
              <w:left w:type="dxa" w:w="100"/>
              <w:bottom w:type="dxa" w:w="60"/>
              <w:right w:type="dxa" w:w="100"/>
            </w:tcMar>
          </w:tcPr>
          <w:p>
            <w:pPr>
              <w:spacing w:after="0"/>
            </w:pPr>
            <w:r>
              <w:rPr>
                <w:color w:val="1E293B"/>
                <w:sz w:val="19"/>
                <w:szCs w:val="19"/>
              </w:rPr>
              <w:t xml:space="preserve">nginx:1.25-alpine</w:t>
            </w:r>
          </w:p>
        </w:tc>
        <w:tc>
          <w:tcPr>
            <w:tcW w:type="dxa" w:w="900"/>
            <w:tcMar>
              <w:top w:type="dxa" w:w="60"/>
              <w:left w:type="dxa" w:w="100"/>
              <w:bottom w:type="dxa" w:w="60"/>
              <w:right w:type="dxa" w:w="100"/>
            </w:tcMar>
          </w:tcPr>
          <w:p>
            <w:pPr>
              <w:spacing w:after="0"/>
            </w:pPr>
            <w:r>
              <w:rPr>
                <w:color w:val="1E293B"/>
                <w:sz w:val="19"/>
                <w:szCs w:val="19"/>
              </w:rPr>
              <w:t xml:space="preserve">8888</w:t>
            </w:r>
          </w:p>
        </w:tc>
        <w:tc>
          <w:tcPr>
            <w:tcW w:type="dxa" w:w="3400"/>
            <w:tcMar>
              <w:top w:type="dxa" w:w="60"/>
              <w:left w:type="dxa" w:w="100"/>
              <w:bottom w:type="dxa" w:w="60"/>
              <w:right w:type="dxa" w:w="100"/>
            </w:tcMar>
          </w:tcPr>
          <w:p>
            <w:pPr>
              <w:spacing w:after="0"/>
            </w:pPr>
            <w:r>
              <w:rPr>
                <w:color w:val="1E293B"/>
                <w:sz w:val="19"/>
                <w:szCs w:val="19"/>
              </w:rPr>
              <w:t xml:space="preserve">Allure HTML raporları</w:t>
            </w:r>
          </w:p>
        </w:tc>
      </w:tr>
      <w:tr>
        <w:tc>
          <w:tcPr>
            <w:tcW w:type="dxa" w:w="1700"/>
            <w:shd w:fill="F1F5F9" w:val="clear"/>
            <w:tcMar>
              <w:top w:type="dxa" w:w="60"/>
              <w:left w:type="dxa" w:w="100"/>
              <w:bottom w:type="dxa" w:w="60"/>
              <w:right w:type="dxa" w:w="100"/>
            </w:tcMar>
          </w:tcPr>
          <w:p>
            <w:pPr>
              <w:spacing w:after="0"/>
            </w:pPr>
            <w:r>
              <w:rPr>
                <w:color w:val="1E293B"/>
                <w:sz w:val="19"/>
                <w:szCs w:val="19"/>
              </w:rPr>
              <w:t xml:space="preserve">pgadmin (ops.)</w:t>
            </w:r>
          </w:p>
        </w:tc>
        <w:tc>
          <w:tcPr>
            <w:tcW w:type="dxa" w:w="3000"/>
            <w:shd w:fill="F1F5F9" w:val="clear"/>
            <w:tcMar>
              <w:top w:type="dxa" w:w="60"/>
              <w:left w:type="dxa" w:w="100"/>
              <w:bottom w:type="dxa" w:w="60"/>
              <w:right w:type="dxa" w:w="100"/>
            </w:tcMar>
          </w:tcPr>
          <w:p>
            <w:pPr>
              <w:spacing w:after="0"/>
            </w:pPr>
            <w:r>
              <w:rPr>
                <w:color w:val="1E293B"/>
                <w:sz w:val="19"/>
                <w:szCs w:val="19"/>
              </w:rPr>
              <w:t xml:space="preserve">dpage/pgadmin4</w:t>
            </w:r>
          </w:p>
        </w:tc>
        <w:tc>
          <w:tcPr>
            <w:tcW w:type="dxa" w:w="900"/>
            <w:shd w:fill="F1F5F9" w:val="clear"/>
            <w:tcMar>
              <w:top w:type="dxa" w:w="60"/>
              <w:left w:type="dxa" w:w="100"/>
              <w:bottom w:type="dxa" w:w="60"/>
              <w:right w:type="dxa" w:w="100"/>
            </w:tcMar>
          </w:tcPr>
          <w:p>
            <w:pPr>
              <w:spacing w:after="0"/>
            </w:pPr>
            <w:r>
              <w:rPr>
                <w:color w:val="1E293B"/>
                <w:sz w:val="19"/>
                <w:szCs w:val="19"/>
              </w:rPr>
              <w:t xml:space="preserve">5050</w:t>
            </w:r>
          </w:p>
        </w:tc>
        <w:tc>
          <w:tcPr>
            <w:tcW w:type="dxa" w:w="3400"/>
            <w:shd w:fill="F1F5F9" w:val="clear"/>
            <w:tcMar>
              <w:top w:type="dxa" w:w="60"/>
              <w:left w:type="dxa" w:w="100"/>
              <w:bottom w:type="dxa" w:w="60"/>
              <w:right w:type="dxa" w:w="100"/>
            </w:tcMar>
          </w:tcPr>
          <w:p>
            <w:pPr>
              <w:spacing w:after="0"/>
            </w:pPr>
            <w:r>
              <w:rPr>
                <w:color w:val="1E293B"/>
                <w:sz w:val="19"/>
                <w:szCs w:val="19"/>
              </w:rPr>
              <w:t xml:space="preserve">DB yönetimi (--profile tools)</w:t>
            </w:r>
          </w:p>
        </w:tc>
      </w:tr>
    </w:tbl>
    <w:p>
      <w:pPr>
        <w:pStyle w:val="ListParagraph"/>
        <w:numPr>
          <w:ilvl w:val="0"/>
          <w:numId w:val="2"/>
        </w:numPr>
        <w:spacing w:after="60"/>
      </w:pPr>
      <w:r>
        <w:rPr>
          <w:color w:val="1E293B"/>
        </w:rPr>
        <w:t xml:space="preserve">Ollama host üzerinde çalışır; container'a host.docker.internal ile erişilir — model verisi imaja gömülmez.</w:t>
      </w:r>
    </w:p>
    <w:p>
      <w:pPr>
        <w:pStyle w:val="ListParagraph"/>
        <w:numPr>
          <w:ilvl w:val="0"/>
          <w:numId w:val="2"/>
        </w:numPr>
        <w:spacing w:after="60"/>
      </w:pPr>
      <w:r>
        <w:rPr>
          <w:color w:val="1E293B"/>
        </w:rPr>
        <w:t xml:space="preserve">Uygulama imajı: non-root kullanıcı, healthcheck, JAVA_OPTS container-aware bellek — OCP (OpenShift) uyumlu.</w:t>
      </w:r>
    </w:p>
    <w:p>
      <w:pPr>
        <w:pStyle w:val="Heading2"/>
        <w:spacing w:after="110" w:before="260"/>
      </w:pPr>
      <w:r>
        <w:rPr>
          <w:b/>
          <w:bCs/>
          <w:color w:val="7C3AED"/>
        </w:rPr>
        <w:t xml:space="preserve">6.2 Profiller</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3000"/>
        <w:gridCol w:w="3800"/>
      </w:tblGrid>
      <w:tr>
        <w:trPr>
          <w:tblHeader/>
        </w:trPr>
        <w:tc>
          <w:tcPr>
            <w:tcW w:type="dxa" w:w="2200"/>
            <w:shd w:fill="312E81" w:val="clear"/>
            <w:tcMar>
              <w:top w:type="dxa" w:w="60"/>
              <w:left w:type="dxa" w:w="100"/>
              <w:bottom w:type="dxa" w:w="60"/>
              <w:right w:type="dxa" w:w="100"/>
            </w:tcMar>
          </w:tcPr>
          <w:p>
            <w:pPr>
              <w:spacing w:after="0"/>
            </w:pPr>
            <w:r>
              <w:rPr>
                <w:b/>
                <w:bCs/>
                <w:color w:val="FFFFFF"/>
                <w:sz w:val="19"/>
                <w:szCs w:val="19"/>
              </w:rPr>
              <w:t xml:space="preserve">Profil</w:t>
            </w:r>
          </w:p>
        </w:tc>
        <w:tc>
          <w:tcPr>
            <w:tcW w:type="dxa" w:w="3000"/>
            <w:shd w:fill="312E81" w:val="clear"/>
            <w:tcMar>
              <w:top w:type="dxa" w:w="60"/>
              <w:left w:type="dxa" w:w="100"/>
              <w:bottom w:type="dxa" w:w="60"/>
              <w:right w:type="dxa" w:w="100"/>
            </w:tcMar>
          </w:tcPr>
          <w:p>
            <w:pPr>
              <w:spacing w:after="0"/>
            </w:pPr>
            <w:r>
              <w:rPr>
                <w:b/>
                <w:bCs/>
                <w:color w:val="FFFFFF"/>
                <w:sz w:val="19"/>
                <w:szCs w:val="19"/>
              </w:rPr>
              <w:t xml:space="preserve">Veritabanı</w:t>
            </w:r>
          </w:p>
        </w:tc>
        <w:tc>
          <w:tcPr>
            <w:tcW w:type="dxa" w:w="3800"/>
            <w:shd w:fill="312E81" w:val="clear"/>
            <w:tcMar>
              <w:top w:type="dxa" w:w="60"/>
              <w:left w:type="dxa" w:w="100"/>
              <w:bottom w:type="dxa" w:w="60"/>
              <w:right w:type="dxa" w:w="100"/>
            </w:tcMar>
          </w:tcPr>
          <w:p>
            <w:pPr>
              <w:spacing w:after="0"/>
            </w:pPr>
            <w:r>
              <w:rPr>
                <w:b/>
                <w:bCs/>
                <w:color w:val="FFFFFF"/>
                <w:sz w:val="19"/>
                <w:szCs w:val="19"/>
              </w:rPr>
              <w:t xml:space="preserve">Kullanım</w:t>
            </w:r>
          </w:p>
        </w:tc>
      </w:tr>
      <w:tr>
        <w:tc>
          <w:tcPr>
            <w:tcW w:type="dxa" w:w="2200"/>
            <w:tcMar>
              <w:top w:type="dxa" w:w="60"/>
              <w:left w:type="dxa" w:w="100"/>
              <w:bottom w:type="dxa" w:w="60"/>
              <w:right w:type="dxa" w:w="100"/>
            </w:tcMar>
          </w:tcPr>
          <w:p>
            <w:pPr>
              <w:spacing w:after="0"/>
            </w:pPr>
            <w:r>
              <w:rPr>
                <w:color w:val="1E293B"/>
                <w:sz w:val="19"/>
                <w:szCs w:val="19"/>
              </w:rPr>
              <w:t xml:space="preserve">local (varsayılan)</w:t>
            </w:r>
          </w:p>
        </w:tc>
        <w:tc>
          <w:tcPr>
            <w:tcW w:type="dxa" w:w="3000"/>
            <w:tcMar>
              <w:top w:type="dxa" w:w="60"/>
              <w:left w:type="dxa" w:w="100"/>
              <w:bottom w:type="dxa" w:w="60"/>
              <w:right w:type="dxa" w:w="100"/>
            </w:tcMar>
          </w:tcPr>
          <w:p>
            <w:pPr>
              <w:spacing w:after="0"/>
            </w:pPr>
            <w:r>
              <w:rPr>
                <w:color w:val="1E293B"/>
                <w:sz w:val="19"/>
                <w:szCs w:val="19"/>
              </w:rPr>
              <w:t xml:space="preserve">H2 dosya (MODE=PostgreSQL)</w:t>
            </w:r>
          </w:p>
        </w:tc>
        <w:tc>
          <w:tcPr>
            <w:tcW w:type="dxa" w:w="3800"/>
            <w:tcMar>
              <w:top w:type="dxa" w:w="60"/>
              <w:left w:type="dxa" w:w="100"/>
              <w:bottom w:type="dxa" w:w="60"/>
              <w:right w:type="dxa" w:w="100"/>
            </w:tcMar>
          </w:tcPr>
          <w:p>
            <w:pPr>
              <w:spacing w:after="0"/>
            </w:pPr>
            <w:r>
              <w:rPr>
                <w:color w:val="1E293B"/>
                <w:sz w:val="19"/>
                <w:szCs w:val="19"/>
              </w:rPr>
              <w:t xml:space="preserve">Sıfır kurulumlu geliştirme; H2 console açık</w:t>
            </w:r>
          </w:p>
        </w:tc>
      </w:tr>
      <w:tr>
        <w:tc>
          <w:tcPr>
            <w:tcW w:type="dxa" w:w="2200"/>
            <w:shd w:fill="F1F5F9" w:val="clear"/>
            <w:tcMar>
              <w:top w:type="dxa" w:w="60"/>
              <w:left w:type="dxa" w:w="100"/>
              <w:bottom w:type="dxa" w:w="60"/>
              <w:right w:type="dxa" w:w="100"/>
            </w:tcMar>
          </w:tcPr>
          <w:p>
            <w:pPr>
              <w:spacing w:after="0"/>
            </w:pPr>
            <w:r>
              <w:rPr>
                <w:color w:val="1E293B"/>
                <w:sz w:val="19"/>
                <w:szCs w:val="19"/>
              </w:rPr>
              <w:t xml:space="preserve">docker</w:t>
            </w:r>
          </w:p>
        </w:tc>
        <w:tc>
          <w:tcPr>
            <w:tcW w:type="dxa" w:w="3000"/>
            <w:shd w:fill="F1F5F9" w:val="clear"/>
            <w:tcMar>
              <w:top w:type="dxa" w:w="60"/>
              <w:left w:type="dxa" w:w="100"/>
              <w:bottom w:type="dxa" w:w="60"/>
              <w:right w:type="dxa" w:w="100"/>
            </w:tcMar>
          </w:tcPr>
          <w:p>
            <w:pPr>
              <w:spacing w:after="0"/>
            </w:pPr>
            <w:r>
              <w:rPr>
                <w:color w:val="1E293B"/>
                <w:sz w:val="19"/>
                <w:szCs w:val="19"/>
              </w:rPr>
              <w:t xml:space="preserve">PostgreSQL 16</w:t>
            </w:r>
          </w:p>
        </w:tc>
        <w:tc>
          <w:tcPr>
            <w:tcW w:type="dxa" w:w="3800"/>
            <w:shd w:fill="F1F5F9" w:val="clear"/>
            <w:tcMar>
              <w:top w:type="dxa" w:w="60"/>
              <w:left w:type="dxa" w:w="100"/>
              <w:bottom w:type="dxa" w:w="60"/>
              <w:right w:type="dxa" w:w="100"/>
            </w:tcMar>
          </w:tcPr>
          <w:p>
            <w:pPr>
              <w:spacing w:after="0"/>
            </w:pPr>
            <w:r>
              <w:rPr>
                <w:color w:val="1E293B"/>
                <w:sz w:val="19"/>
                <w:szCs w:val="19"/>
              </w:rPr>
              <w:t xml:space="preserve">Compose/kurumsal koşum; kalıcı veri, mail health devre dışı</w:t>
            </w:r>
          </w:p>
        </w:tc>
      </w:tr>
    </w:tbl>
    <w:p>
      <w:pPr>
        <w:pStyle w:val="Heading2"/>
        <w:spacing w:after="110" w:before="260"/>
      </w:pPr>
      <w:r>
        <w:rPr>
          <w:b/>
          <w:bCs/>
          <w:color w:val="7C3AED"/>
        </w:rPr>
        <w:t xml:space="preserve">6.3 CI/CD</w:t>
      </w:r>
    </w:p>
    <w:p>
      <w:pPr>
        <w:spacing w:after="100"/>
      </w:pPr>
      <w:r>
        <w:rPr>
          <w:color w:val="1E293B"/>
        </w:rPr>
        <w:t xml:space="preserve">Jenkinsfile pipeline build→test→imaj aşamalarını içerir; k8s/ dizininde deployment ve Allure server manifestleri mevcuttur. Prometheus endpoint'i ve liveness/readiness probe'ları Kubernetes/OCP ortamına hazırdır.</w:t>
      </w:r>
    </w:p>
    <w:p>
      <w:pPr>
        <w:pStyle w:val="Heading1"/>
        <w:spacing w:after="140" w:before="320"/>
      </w:pPr>
      <w:r>
        <w:rPr>
          <w:b/>
          <w:bCs/>
          <w:color w:val="4338CA"/>
        </w:rPr>
        <w:t xml:space="preserve">7. Kalite Nitelikleri (NFR)</w:t>
      </w:r>
    </w:p>
    <w:p>
      <w:pPr>
        <w:pStyle w:val="Heading2"/>
        <w:spacing w:after="110" w:before="260"/>
      </w:pPr>
      <w:r>
        <w:rPr>
          <w:b/>
          <w:bCs/>
          <w:color w:val="7C3AED"/>
        </w:rPr>
        <w:t xml:space="preserve">7.1 Dayanıklılık</w:t>
      </w:r>
    </w:p>
    <w:p>
      <w:pPr>
        <w:pStyle w:val="ListParagraph"/>
        <w:numPr>
          <w:ilvl w:val="0"/>
          <w:numId w:val="2"/>
        </w:numPr>
        <w:spacing w:after="60"/>
      </w:pPr>
      <w:r>
        <w:rPr>
          <w:color w:val="1E293B"/>
        </w:rPr>
        <w:t xml:space="preserve">Supervisor fallback: LLM tool-calling hatası üretimi durdurmaz (kanıtlanmış: canlıda ilk koşumda devreye girdi).</w:t>
      </w:r>
    </w:p>
    <w:p>
      <w:pPr>
        <w:pStyle w:val="ListParagraph"/>
        <w:numPr>
          <w:ilvl w:val="0"/>
          <w:numId w:val="2"/>
        </w:numPr>
        <w:spacing w:after="60"/>
      </w:pPr>
      <w:r>
        <w:rPr>
          <w:color w:val="1E293B"/>
        </w:rPr>
        <w:t xml:space="preserve">Best-effort telemetri: DB log yazım hataları ana akışı kırmaz.</w:t>
      </w:r>
    </w:p>
    <w:p>
      <w:pPr>
        <w:pStyle w:val="ListParagraph"/>
        <w:numPr>
          <w:ilvl w:val="0"/>
          <w:numId w:val="2"/>
        </w:numPr>
        <w:spacing w:after="60"/>
      </w:pPr>
      <w:r>
        <w:rPr>
          <w:color w:val="1E293B"/>
        </w:rPr>
        <w:t xml:space="preserve">Self-heal zincir sınırı ve deterministik CodeCleaner ile bozuk LLM çıktısı absorbe edilir.</w:t>
      </w:r>
    </w:p>
    <w:p>
      <w:pPr>
        <w:pStyle w:val="Heading2"/>
        <w:spacing w:after="110" w:before="260"/>
      </w:pPr>
      <w:r>
        <w:rPr>
          <w:b/>
          <w:bCs/>
          <w:color w:val="7C3AED"/>
        </w:rPr>
        <w:t xml:space="preserve">7.2 Gözlemlenebilirlik</w:t>
      </w:r>
    </w:p>
    <w:p>
      <w:pPr>
        <w:pStyle w:val="ListParagraph"/>
        <w:numPr>
          <w:ilvl w:val="0"/>
          <w:numId w:val="2"/>
        </w:numPr>
        <w:spacing w:after="60"/>
      </w:pPr>
      <w:r>
        <w:rPr>
          <w:color w:val="1E293B"/>
        </w:rPr>
        <w:t xml:space="preserve">Her LLM çağrısı rol etiketiyle (AGENT_SECOPS, KARATE, FAILURE_ANALYSIS...) süre/boyut/başarı olarak kalıcı loglanır.</w:t>
      </w:r>
    </w:p>
    <w:p>
      <w:pPr>
        <w:pStyle w:val="ListParagraph"/>
        <w:numPr>
          <w:ilvl w:val="0"/>
          <w:numId w:val="2"/>
        </w:numPr>
        <w:spacing w:after="60"/>
      </w:pPr>
      <w:r>
        <w:rPr>
          <w:color w:val="1E293B"/>
        </w:rPr>
        <w:t xml:space="preserve">Micrometer + Prometheus; yapılandırılmış uygulama logları dashboard'dan izlenebilir.</w:t>
      </w:r>
    </w:p>
    <w:p>
      <w:pPr>
        <w:pStyle w:val="Heading2"/>
        <w:spacing w:after="110" w:before="260"/>
      </w:pPr>
      <w:r>
        <w:rPr>
          <w:b/>
          <w:bCs/>
          <w:color w:val="7C3AED"/>
        </w:rPr>
        <w:t xml:space="preserve">7.3 Performans</w:t>
      </w:r>
    </w:p>
    <w:p>
      <w:pPr>
        <w:pStyle w:val="ListParagraph"/>
        <w:numPr>
          <w:ilvl w:val="0"/>
          <w:numId w:val="2"/>
        </w:numPr>
        <w:spacing w:after="60"/>
      </w:pPr>
      <w:r>
        <w:rPr>
          <w:color w:val="1E293B"/>
        </w:rPr>
        <w:t xml:space="preserve">Test koşumları paralel (CompletableFuture); comparer istekleri eşzamanlı (8'e kadar).</w:t>
      </w:r>
    </w:p>
    <w:p>
      <w:pPr>
        <w:pStyle w:val="ListParagraph"/>
        <w:numPr>
          <w:ilvl w:val="0"/>
          <w:numId w:val="2"/>
        </w:numPr>
        <w:spacing w:after="60"/>
      </w:pPr>
      <w:r>
        <w:rPr>
          <w:color w:val="1E293B"/>
        </w:rPr>
        <w:t xml:space="preserve">LLM bağlamı korunur: Swagger 3000 karaktere, hata çıktısı 800 karaktere kısaltılır; numCtx=8192.</w:t>
      </w:r>
    </w:p>
    <w:p>
      <w:pPr>
        <w:pStyle w:val="Heading2"/>
        <w:spacing w:after="110" w:before="260"/>
      </w:pPr>
      <w:r>
        <w:rPr>
          <w:b/>
          <w:bCs/>
          <w:color w:val="7C3AED"/>
        </w:rPr>
        <w:t xml:space="preserve">7.4 Güvenlik (Mevcut Durum ve Açıklar)</w:t>
      </w:r>
    </w:p>
    <w:p>
      <w:pPr>
        <w:pStyle w:val="ListParagraph"/>
        <w:numPr>
          <w:ilvl w:val="0"/>
          <w:numId w:val="2"/>
        </w:numPr>
        <w:spacing w:after="60"/>
      </w:pPr>
      <w:r>
        <w:rPr>
          <w:color w:val="1E293B"/>
        </w:rPr>
        <w:t xml:space="preserve">Giden çağrı kapısı (OutboundUrlGuard) — TÜM dış istekler tek kapıdan geçer: gözlem, Runner direkt koşumu ve Comparer. Bulut metadata uçları (169.254.169.254, metadata.google.internal vb.) her koşulda reddedilir; DNS rebinding'e karşı ana makine adının ÇÖZÜMLENEN TÜM adresleri denetlenir; yönlendirmeler otomatik izlenmez, her adım yeniden denetlenerek takip edilir (en fazla 5).</w:t>
      </w:r>
    </w:p>
    <w:p>
      <w:pPr>
        <w:pStyle w:val="ListParagraph"/>
        <w:numPr>
          <w:ilvl w:val="0"/>
          <w:numId w:val="2"/>
        </w:numPr>
        <w:spacing w:after="60"/>
      </w:pPr>
      <w:r>
        <w:rPr>
          <w:color w:val="1E293B"/>
        </w:rPr>
        <w:t xml:space="preserve">Loopback ve RFC1918 özel ağlara varsayılan olarak izin verilir — iç servis testi platformun birincil kullanım senaryosudur. Çok kiracılı dağıtımda test-generator.security.allow-private-networks=false ile kapatılır. Güvenlik reddi kullanıcıya 400 olarak gerekçesiyle döner.</w:t>
      </w:r>
    </w:p>
    <w:p>
      <w:pPr>
        <w:pStyle w:val="ListParagraph"/>
        <w:numPr>
          <w:ilvl w:val="0"/>
          <w:numId w:val="2"/>
        </w:numPr>
        <w:spacing w:after="60"/>
      </w:pPr>
      <w:r>
        <w:rPr>
          <w:color w:val="1E293B"/>
        </w:rPr>
        <w:t xml:space="preserve">Var: URL şema doğrulaması, girdi validasyonu, non-root container, XSS-escape'li rapor render'ı.</w:t>
      </w:r>
    </w:p>
    <w:p>
      <w:pPr>
        <w:pStyle w:val="ListParagraph"/>
        <w:numPr>
          <w:ilvl w:val="0"/>
          <w:numId w:val="2"/>
        </w:numPr>
        <w:spacing w:after="60"/>
      </w:pPr>
      <w:r>
        <w:rPr>
          <w:color w:val="1E293B"/>
        </w:rPr>
        <w:t xml:space="preserve">Bilinen açıklar (yol haritasında): API kimlik doğrulaması (Spring Security) yok; rate limiting yok; şema göçü Flyway ile yönetilmiyor. Kurumsal yayına çıkmadan önce kapatılmalıdır.</w:t>
      </w:r>
    </w:p>
    <w:p>
      <w:pPr>
        <w:pStyle w:val="Heading1"/>
        <w:spacing w:after="140" w:before="320"/>
      </w:pPr>
      <w:r>
        <w:rPr>
          <w:b/>
          <w:bCs/>
          <w:color w:val="4338CA"/>
        </w:rPr>
        <w:t xml:space="preserve">8. Uçtan Uca Ana Akışlar</w:t>
      </w:r>
    </w:p>
    <w:p>
      <w:pPr>
        <w:pStyle w:val="Heading2"/>
        <w:spacing w:after="110" w:before="260"/>
      </w:pPr>
      <w:r>
        <w:rPr>
          <w:b/>
          <w:bCs/>
          <w:color w:val="7C3AED"/>
        </w:rPr>
        <w:t xml:space="preserve">8.1 Test Üretimi + Otomatik Koşum</w:t>
      </w:r>
    </w:p>
    <w:p>
      <w:pPr>
        <w:pStyle w:val="ListParagraph"/>
        <w:numPr>
          <w:ilvl w:val="0"/>
          <w:numId w:val="3"/>
        </w:numPr>
        <w:spacing w:after="60"/>
      </w:pPr>
      <w:r>
        <w:rPr>
          <w:color w:val="1E293B"/>
        </w:rPr>
        <w:t xml:space="preserve">POST /api/v1/tests/generate (autoRun=true) → istek PENDING olarak kaydedilir, 202 döner.</w:t>
      </w:r>
    </w:p>
    <w:p>
      <w:pPr>
        <w:pStyle w:val="ListParagraph"/>
        <w:numPr>
          <w:ilvl w:val="0"/>
          <w:numId w:val="3"/>
        </w:numPr>
        <w:spacing w:after="60"/>
      </w:pPr>
      <w:r>
        <w:rPr>
          <w:color w:val="1E293B"/>
        </w:rPr>
        <w:t xml:space="preserve">Async: öğrenme dersleri + Supervisor analizi bağlama eklenir (GENERATING).</w:t>
      </w:r>
    </w:p>
    <w:p>
      <w:pPr>
        <w:pStyle w:val="ListParagraph"/>
        <w:numPr>
          <w:ilvl w:val="0"/>
          <w:numId w:val="3"/>
        </w:numPr>
        <w:spacing w:after="60"/>
      </w:pPr>
      <w:r>
        <w:rPr>
          <w:color w:val="1E293B"/>
        </w:rPr>
        <w:t xml:space="preserve">Framework'e göre generator koşar; CodeCleaner normalize eder; case'ler kaydedilir (GENERATED).</w:t>
      </w:r>
    </w:p>
    <w:p>
      <w:pPr>
        <w:pStyle w:val="ListParagraph"/>
        <w:numPr>
          <w:ilvl w:val="0"/>
          <w:numId w:val="3"/>
        </w:numPr>
        <w:spacing w:after="60"/>
      </w:pPr>
      <w:r>
        <w:rPr>
          <w:color w:val="1E293B"/>
        </w:rPr>
        <w:t xml:space="preserve">TestRunnerService tüm case'leri paralel koşar; sonuçlar DB'ye işlenir.</w:t>
      </w:r>
    </w:p>
    <w:p>
      <w:pPr>
        <w:pStyle w:val="ListParagraph"/>
        <w:numPr>
          <w:ilvl w:val="0"/>
          <w:numId w:val="3"/>
        </w:numPr>
        <w:spacing w:after="60"/>
      </w:pPr>
      <w:r>
        <w:rPr>
          <w:color w:val="1E293B"/>
        </w:rPr>
        <w:t xml:space="preserve">FAILED varsa self-healing üretir ve yeniden koşar; öğrenme dersleri yazılır.</w:t>
      </w:r>
    </w:p>
    <w:p>
      <w:pPr>
        <w:pStyle w:val="ListParagraph"/>
        <w:numPr>
          <w:ilvl w:val="0"/>
          <w:numId w:val="3"/>
        </w:numPr>
        <w:spacing w:after="60"/>
      </w:pPr>
      <w:r>
        <w:rPr>
          <w:color w:val="1E293B"/>
        </w:rPr>
        <w:t xml:space="preserve">Allure + Cucumber raporları derlenir; e-posta bildirimi gönderilir.</w:t>
      </w:r>
    </w:p>
    <w:p>
      <w:pPr>
        <w:pStyle w:val="Heading2"/>
        <w:spacing w:after="110" w:before="260"/>
      </w:pPr>
      <w:r>
        <w:rPr>
          <w:b/>
          <w:bCs/>
          <w:color w:val="7C3AED"/>
        </w:rPr>
        <w:t xml:space="preserve">8.2 Endpoint Karşılaştırma</w:t>
      </w:r>
    </w:p>
    <w:p>
      <w:pPr>
        <w:pStyle w:val="ListParagraph"/>
        <w:numPr>
          <w:ilvl w:val="0"/>
          <w:numId w:val="3"/>
        </w:numPr>
        <w:spacing w:after="60"/>
      </w:pPr>
      <w:r>
        <w:rPr>
          <w:color w:val="1E293B"/>
        </w:rPr>
        <w:t xml:space="preserve">POST /api/v1/comparison/run — istekler (manuel + Postman Collection) çözümlenir.</w:t>
      </w:r>
    </w:p>
    <w:p>
      <w:pPr>
        <w:pStyle w:val="ListParagraph"/>
        <w:numPr>
          <w:ilvl w:val="0"/>
          <w:numId w:val="3"/>
        </w:numPr>
        <w:spacing w:after="60"/>
      </w:pPr>
      <w:r>
        <w:rPr>
          <w:color w:val="1E293B"/>
        </w:rPr>
        <w:t xml:space="preserve">Her istek iki ortama paralel gönderilir; yanıtlar JSON diff ile karşılaştırılır.</w:t>
      </w:r>
    </w:p>
    <w:p>
      <w:pPr>
        <w:pStyle w:val="ListParagraph"/>
        <w:numPr>
          <w:ilvl w:val="0"/>
          <w:numId w:val="3"/>
        </w:numPr>
        <w:spacing w:after="60"/>
      </w:pPr>
      <w:r>
        <w:rPr>
          <w:color w:val="1E293B"/>
        </w:rPr>
        <w:t xml:space="preserve">Özet + alan bazlı farklar döner; koşum comparison_runs'a kaydedilir.</w:t>
      </w:r>
    </w:p>
    <w:p>
      <w:pPr>
        <w:pStyle w:val="Heading1"/>
        <w:spacing w:after="140" w:before="320"/>
      </w:pPr>
      <w:r>
        <w:rPr>
          <w:b/>
          <w:bCs/>
          <w:color w:val="4338CA"/>
        </w:rPr>
        <w:t xml:space="preserve">9. Riskler ve Yol Haritası</w:t>
      </w:r>
    </w:p>
    <w:tbl>
      <w:tblPr>
        <w:tblW w:type="dxa" w:w="9000"/>
        <w:tblBorders>
          <w:top w:val="single" w:color="CBD5E1" w:sz="4"/>
          <w:left w:val="single" w:color="CBD5E1" w:sz="4"/>
          <w:bottom w:val="single" w:color="CBD5E1" w:sz="4"/>
          <w:right w:val="single" w:color="CBD5E1" w:sz="4"/>
          <w:insideH w:val="single" w:color="E2E8F0" w:sz="4"/>
          <w:insideV w:val="single" w:color="E2E8F0" w:sz="4"/>
        </w:tblBorders>
      </w:tblPr>
      <w:tblGrid>
        <w:gridCol w:w="1800"/>
        <w:gridCol w:w="3900"/>
        <w:gridCol w:w="3300"/>
      </w:tblGrid>
      <w:tr>
        <w:trPr>
          <w:tblHeader/>
        </w:trPr>
        <w:tc>
          <w:tcPr>
            <w:tcW w:type="dxa" w:w="1800"/>
            <w:shd w:fill="312E81" w:val="clear"/>
            <w:tcMar>
              <w:top w:type="dxa" w:w="60"/>
              <w:left w:type="dxa" w:w="100"/>
              <w:bottom w:type="dxa" w:w="60"/>
              <w:right w:type="dxa" w:w="100"/>
            </w:tcMar>
          </w:tcPr>
          <w:p>
            <w:pPr>
              <w:spacing w:after="0"/>
            </w:pPr>
            <w:r>
              <w:rPr>
                <w:b/>
                <w:bCs/>
                <w:color w:val="FFFFFF"/>
                <w:sz w:val="19"/>
                <w:szCs w:val="19"/>
              </w:rPr>
              <w:t xml:space="preserve">Konu</w:t>
            </w:r>
          </w:p>
        </w:tc>
        <w:tc>
          <w:tcPr>
            <w:tcW w:type="dxa" w:w="3900"/>
            <w:shd w:fill="312E81" w:val="clear"/>
            <w:tcMar>
              <w:top w:type="dxa" w:w="60"/>
              <w:left w:type="dxa" w:w="100"/>
              <w:bottom w:type="dxa" w:w="60"/>
              <w:right w:type="dxa" w:w="100"/>
            </w:tcMar>
          </w:tcPr>
          <w:p>
            <w:pPr>
              <w:spacing w:after="0"/>
            </w:pPr>
            <w:r>
              <w:rPr>
                <w:b/>
                <w:bCs/>
                <w:color w:val="FFFFFF"/>
                <w:sz w:val="19"/>
                <w:szCs w:val="19"/>
              </w:rPr>
              <w:t xml:space="preserve">Risk / İhtiyaç</w:t>
            </w:r>
          </w:p>
        </w:tc>
        <w:tc>
          <w:tcPr>
            <w:tcW w:type="dxa" w:w="3300"/>
            <w:shd w:fill="312E81" w:val="clear"/>
            <w:tcMar>
              <w:top w:type="dxa" w:w="60"/>
              <w:left w:type="dxa" w:w="100"/>
              <w:bottom w:type="dxa" w:w="60"/>
              <w:right w:type="dxa" w:w="100"/>
            </w:tcMar>
          </w:tcPr>
          <w:p>
            <w:pPr>
              <w:spacing w:after="0"/>
            </w:pPr>
            <w:r>
              <w:rPr>
                <w:b/>
                <w:bCs/>
                <w:color w:val="FFFFFF"/>
                <w:sz w:val="19"/>
                <w:szCs w:val="19"/>
              </w:rPr>
              <w:t xml:space="preserve">Plan</w:t>
            </w:r>
          </w:p>
        </w:tc>
      </w:tr>
      <w:tr>
        <w:tc>
          <w:tcPr>
            <w:tcW w:type="dxa" w:w="1800"/>
            <w:tcMar>
              <w:top w:type="dxa" w:w="60"/>
              <w:left w:type="dxa" w:w="100"/>
              <w:bottom w:type="dxa" w:w="60"/>
              <w:right w:type="dxa" w:w="100"/>
            </w:tcMar>
          </w:tcPr>
          <w:p>
            <w:pPr>
              <w:spacing w:after="0"/>
            </w:pPr>
            <w:r>
              <w:rPr>
                <w:color w:val="1E293B"/>
                <w:sz w:val="19"/>
                <w:szCs w:val="19"/>
              </w:rPr>
              <w:t xml:space="preserve">Şema yönetimi</w:t>
            </w:r>
          </w:p>
        </w:tc>
        <w:tc>
          <w:tcPr>
            <w:tcW w:type="dxa" w:w="3900"/>
            <w:tcMar>
              <w:top w:type="dxa" w:w="60"/>
              <w:left w:type="dxa" w:w="100"/>
              <w:bottom w:type="dxa" w:w="60"/>
              <w:right w:type="dxa" w:w="100"/>
            </w:tcMar>
          </w:tcPr>
          <w:p>
            <w:pPr>
              <w:spacing w:after="0"/>
            </w:pPr>
            <w:r>
              <w:rPr>
                <w:color w:val="1E293B"/>
                <w:sz w:val="19"/>
                <w:szCs w:val="19"/>
              </w:rPr>
              <w:t xml:space="preserve">ddl-auto enum genişletmede check constraint güncellemez (canlıda yaşandı)</w:t>
            </w:r>
          </w:p>
        </w:tc>
        <w:tc>
          <w:tcPr>
            <w:tcW w:type="dxa" w:w="3300"/>
            <w:tcMar>
              <w:top w:type="dxa" w:w="60"/>
              <w:left w:type="dxa" w:w="100"/>
              <w:bottom w:type="dxa" w:w="60"/>
              <w:right w:type="dxa" w:w="100"/>
            </w:tcMar>
          </w:tcPr>
          <w:p>
            <w:pPr>
              <w:spacing w:after="0"/>
            </w:pPr>
            <w:r>
              <w:rPr>
                <w:color w:val="1E293B"/>
                <w:sz w:val="19"/>
                <w:szCs w:val="19"/>
              </w:rPr>
              <w:t xml:space="preserve">Flyway'e geçiş — kısa vade</w:t>
            </w:r>
          </w:p>
        </w:tc>
      </w:tr>
      <w:tr>
        <w:tc>
          <w:tcPr>
            <w:tcW w:type="dxa" w:w="1800"/>
            <w:shd w:fill="F1F5F9" w:val="clear"/>
            <w:tcMar>
              <w:top w:type="dxa" w:w="60"/>
              <w:left w:type="dxa" w:w="100"/>
              <w:bottom w:type="dxa" w:w="60"/>
              <w:right w:type="dxa" w:w="100"/>
            </w:tcMar>
          </w:tcPr>
          <w:p>
            <w:pPr>
              <w:spacing w:after="0"/>
            </w:pPr>
            <w:r>
              <w:rPr>
                <w:color w:val="1E293B"/>
                <w:sz w:val="19"/>
                <w:szCs w:val="19"/>
              </w:rPr>
              <w:t xml:space="preserve">Güvenlik</w:t>
            </w:r>
          </w:p>
        </w:tc>
        <w:tc>
          <w:tcPr>
            <w:tcW w:type="dxa" w:w="3900"/>
            <w:shd w:fill="F1F5F9" w:val="clear"/>
            <w:tcMar>
              <w:top w:type="dxa" w:w="60"/>
              <w:left w:type="dxa" w:w="100"/>
              <w:bottom w:type="dxa" w:w="60"/>
              <w:right w:type="dxa" w:w="100"/>
            </w:tcMar>
          </w:tcPr>
          <w:p>
            <w:pPr>
              <w:spacing w:after="0"/>
            </w:pPr>
            <w:r>
              <w:rPr>
                <w:color w:val="1E293B"/>
                <w:sz w:val="19"/>
                <w:szCs w:val="19"/>
              </w:rPr>
              <w:t xml:space="preserve">API auth yok; swaggerUrl SSRF</w:t>
            </w:r>
          </w:p>
        </w:tc>
        <w:tc>
          <w:tcPr>
            <w:tcW w:type="dxa" w:w="3300"/>
            <w:shd w:fill="F1F5F9" w:val="clear"/>
            <w:tcMar>
              <w:top w:type="dxa" w:w="60"/>
              <w:left w:type="dxa" w:w="100"/>
              <w:bottom w:type="dxa" w:w="60"/>
              <w:right w:type="dxa" w:w="100"/>
            </w:tcMar>
          </w:tcPr>
          <w:p>
            <w:pPr>
              <w:spacing w:after="0"/>
            </w:pPr>
            <w:r>
              <w:rPr>
                <w:color w:val="1E293B"/>
                <w:sz w:val="19"/>
                <w:szCs w:val="19"/>
              </w:rPr>
              <w:t xml:space="preserve">Auth + şema doğrulaması — kısa vade</w:t>
            </w:r>
          </w:p>
        </w:tc>
      </w:tr>
      <w:tr>
        <w:tc>
          <w:tcPr>
            <w:tcW w:type="dxa" w:w="1800"/>
            <w:tcMar>
              <w:top w:type="dxa" w:w="60"/>
              <w:left w:type="dxa" w:w="100"/>
              <w:bottom w:type="dxa" w:w="60"/>
              <w:right w:type="dxa" w:w="100"/>
            </w:tcMar>
          </w:tcPr>
          <w:p>
            <w:pPr>
              <w:spacing w:after="0"/>
            </w:pPr>
            <w:r>
              <w:rPr>
                <w:color w:val="1E293B"/>
                <w:sz w:val="19"/>
                <w:szCs w:val="19"/>
              </w:rPr>
              <w:t xml:space="preserve">Uzun transaction</w:t>
            </w:r>
          </w:p>
        </w:tc>
        <w:tc>
          <w:tcPr>
            <w:tcW w:type="dxa" w:w="3900"/>
            <w:tcMar>
              <w:top w:type="dxa" w:w="60"/>
              <w:left w:type="dxa" w:w="100"/>
              <w:bottom w:type="dxa" w:w="60"/>
              <w:right w:type="dxa" w:w="100"/>
            </w:tcMar>
          </w:tcPr>
          <w:p>
            <w:pPr>
              <w:spacing w:after="0"/>
            </w:pPr>
            <w:r>
              <w:rPr>
                <w:color w:val="1E293B"/>
                <w:sz w:val="19"/>
                <w:szCs w:val="19"/>
              </w:rPr>
              <w:t xml:space="preserve">generateTests LLM süresi boyunca DB bağlantısı tutuyor</w:t>
            </w:r>
          </w:p>
        </w:tc>
        <w:tc>
          <w:tcPr>
            <w:tcW w:type="dxa" w:w="3300"/>
            <w:tcMar>
              <w:top w:type="dxa" w:w="60"/>
              <w:left w:type="dxa" w:w="100"/>
              <w:bottom w:type="dxa" w:w="60"/>
              <w:right w:type="dxa" w:w="100"/>
            </w:tcMar>
          </w:tcPr>
          <w:p>
            <w:pPr>
              <w:spacing w:after="0"/>
            </w:pPr>
            <w:r>
              <w:rPr>
                <w:color w:val="1E293B"/>
                <w:sz w:val="19"/>
                <w:szCs w:val="19"/>
              </w:rPr>
              <w:t xml:space="preserve">Transaction'ı kalıcılık adımlarına daraltma — orta vade</w:t>
            </w:r>
          </w:p>
        </w:tc>
      </w:tr>
      <w:tr>
        <w:tc>
          <w:tcPr>
            <w:tcW w:type="dxa" w:w="1800"/>
            <w:shd w:fill="F1F5F9" w:val="clear"/>
            <w:tcMar>
              <w:top w:type="dxa" w:w="60"/>
              <w:left w:type="dxa" w:w="100"/>
              <w:bottom w:type="dxa" w:w="60"/>
              <w:right w:type="dxa" w:w="100"/>
            </w:tcMar>
          </w:tcPr>
          <w:p>
            <w:pPr>
              <w:spacing w:after="0"/>
            </w:pPr>
            <w:r>
              <w:rPr>
                <w:color w:val="1E293B"/>
                <w:sz w:val="19"/>
                <w:szCs w:val="19"/>
              </w:rPr>
              <w:t xml:space="preserve">Ajan kalitesi</w:t>
            </w:r>
          </w:p>
        </w:tc>
        <w:tc>
          <w:tcPr>
            <w:tcW w:type="dxa" w:w="3900"/>
            <w:shd w:fill="F1F5F9" w:val="clear"/>
            <w:tcMar>
              <w:top w:type="dxa" w:w="60"/>
              <w:left w:type="dxa" w:w="100"/>
              <w:bottom w:type="dxa" w:w="60"/>
              <w:right w:type="dxa" w:w="100"/>
            </w:tcMar>
          </w:tcPr>
          <w:p>
            <w:pPr>
              <w:spacing w:after="0"/>
            </w:pPr>
            <w:r>
              <w:rPr>
                <w:color w:val="1E293B"/>
                <w:sz w:val="19"/>
                <w:szCs w:val="19"/>
              </w:rPr>
              <w:t xml:space="preserve">Ajan katkısı ölçülmüyor</w:t>
            </w:r>
          </w:p>
        </w:tc>
        <w:tc>
          <w:tcPr>
            <w:tcW w:type="dxa" w:w="3300"/>
            <w:shd w:fill="F1F5F9" w:val="clear"/>
            <w:tcMar>
              <w:top w:type="dxa" w:w="60"/>
              <w:left w:type="dxa" w:w="100"/>
              <w:bottom w:type="dxa" w:w="60"/>
              <w:right w:type="dxa" w:w="100"/>
            </w:tcMar>
          </w:tcPr>
          <w:p>
            <w:pPr>
              <w:spacing w:after="0"/>
            </w:pPr>
            <w:r>
              <w:rPr>
                <w:color w:val="1E293B"/>
                <w:sz w:val="19"/>
                <w:szCs w:val="19"/>
              </w:rPr>
              <w:t xml:space="preserve">Çıktı skorlama + plan optimizasyonu — orta vade</w:t>
            </w:r>
          </w:p>
        </w:tc>
      </w:tr>
      <w:tr>
        <w:tc>
          <w:tcPr>
            <w:tcW w:type="dxa" w:w="1800"/>
            <w:tcMar>
              <w:top w:type="dxa" w:w="60"/>
              <w:left w:type="dxa" w:w="100"/>
              <w:bottom w:type="dxa" w:w="60"/>
              <w:right w:type="dxa" w:w="100"/>
            </w:tcMar>
          </w:tcPr>
          <w:p>
            <w:pPr>
              <w:spacing w:after="0"/>
            </w:pPr>
            <w:r>
              <w:rPr>
                <w:color w:val="1E293B"/>
                <w:sz w:val="19"/>
                <w:szCs w:val="19"/>
              </w:rPr>
              <w:t xml:space="preserve">Ölçekleme</w:t>
            </w:r>
          </w:p>
        </w:tc>
        <w:tc>
          <w:tcPr>
            <w:tcW w:type="dxa" w:w="3900"/>
            <w:tcMar>
              <w:top w:type="dxa" w:w="60"/>
              <w:left w:type="dxa" w:w="100"/>
              <w:bottom w:type="dxa" w:w="60"/>
              <w:right w:type="dxa" w:w="100"/>
            </w:tcMar>
          </w:tcPr>
          <w:p>
            <w:pPr>
              <w:spacing w:after="0"/>
            </w:pPr>
            <w:r>
              <w:rPr>
                <w:color w:val="1E293B"/>
                <w:sz w:val="19"/>
                <w:szCs w:val="19"/>
              </w:rPr>
              <w:t xml:space="preserve">Tek instance</w:t>
            </w:r>
          </w:p>
        </w:tc>
        <w:tc>
          <w:tcPr>
            <w:tcW w:type="dxa" w:w="3300"/>
            <w:tcMar>
              <w:top w:type="dxa" w:w="60"/>
              <w:left w:type="dxa" w:w="100"/>
              <w:bottom w:type="dxa" w:w="60"/>
              <w:right w:type="dxa" w:w="100"/>
            </w:tcMar>
          </w:tcPr>
          <w:p>
            <w:pPr>
              <w:spacing w:after="0"/>
            </w:pPr>
            <w:r>
              <w:rPr>
                <w:color w:val="1E293B"/>
                <w:sz w:val="19"/>
                <w:szCs w:val="19"/>
              </w:rPr>
              <w:t xml:space="preserve">K8s HPA + iş kuyruğu — uzun vade</w:t>
            </w:r>
          </w:p>
        </w:tc>
      </w:tr>
    </w:tbl>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2026-07-08T07:09:34.728Z</dcterms:created>
  <dcterms:modified xsi:type="dcterms:W3CDTF">2026-07-08T07:09:34.730Z</dcterms:modified>
</cp:coreProperties>
</file>

<file path=docProps/custom.xml><?xml version="1.0" encoding="utf-8"?>
<Properties xmlns="http://schemas.openxmlformats.org/officeDocument/2006/custom-properties" xmlns:vt="http://schemas.openxmlformats.org/officeDocument/2006/docPropsVTypes"/>
</file>