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05B1" w14:textId="4F33E64B" w:rsidR="00D26229" w:rsidRPr="00D26229"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32"/>
          <w:szCs w:val="32"/>
          <w:lang w:eastAsia="tr-TR"/>
          <w14:ligatures w14:val="none"/>
        </w:rPr>
      </w:pPr>
      <w:r w:rsidRPr="00D26229">
        <w:rPr>
          <w:rFonts w:ascii="Times New Roman" w:eastAsia="Times New Roman" w:hAnsi="Times New Roman" w:cs="Times New Roman"/>
          <w:i/>
          <w:iCs/>
          <w:color w:val="000000"/>
          <w:kern w:val="0"/>
          <w:sz w:val="32"/>
          <w:szCs w:val="32"/>
          <w:lang w:eastAsia="tr-TR"/>
          <w14:ligatures w14:val="none"/>
        </w:rPr>
        <w:t xml:space="preserve">Financial Technologies – AI-Powered Robo-Advisory Simulation </w:t>
      </w:r>
    </w:p>
    <w:p w14:paraId="664FBF48" w14:textId="0546D52D" w:rsidR="003679A3" w:rsidRPr="00D26229" w:rsidRDefault="003679A3"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r w:rsidRPr="00D26229">
        <w:rPr>
          <w:rFonts w:ascii="Times New Roman" w:eastAsia="Times New Roman" w:hAnsi="Times New Roman" w:cs="Times New Roman"/>
          <w:i/>
          <w:iCs/>
          <w:color w:val="000000"/>
          <w:kern w:val="0"/>
          <w:sz w:val="20"/>
          <w:szCs w:val="20"/>
          <w:lang w:eastAsia="tr-TR"/>
          <w14:ligatures w14:val="none"/>
        </w:rPr>
        <w:t>22290617 – Onur Yiğit K</w:t>
      </w:r>
      <w:r w:rsidR="00D26229" w:rsidRPr="00D26229">
        <w:rPr>
          <w:rFonts w:ascii="Times New Roman" w:eastAsia="Times New Roman" w:hAnsi="Times New Roman" w:cs="Times New Roman"/>
          <w:i/>
          <w:iCs/>
          <w:color w:val="000000"/>
          <w:kern w:val="0"/>
          <w:sz w:val="20"/>
          <w:szCs w:val="20"/>
          <w:lang w:eastAsia="tr-TR"/>
          <w14:ligatures w14:val="none"/>
        </w:rPr>
        <w:t>OCATÜRK</w:t>
      </w:r>
    </w:p>
    <w:p w14:paraId="66A65345" w14:textId="5B1EB6C8" w:rsidR="003679A3" w:rsidRPr="00D26229" w:rsidRDefault="003679A3"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r w:rsidRPr="00D26229">
        <w:rPr>
          <w:rFonts w:ascii="Times New Roman" w:eastAsia="Times New Roman" w:hAnsi="Times New Roman" w:cs="Times New Roman"/>
          <w:i/>
          <w:iCs/>
          <w:color w:val="000000"/>
          <w:kern w:val="0"/>
          <w:sz w:val="20"/>
          <w:szCs w:val="20"/>
          <w:lang w:eastAsia="tr-TR"/>
          <w14:ligatures w14:val="none"/>
        </w:rPr>
        <w:t>229004</w:t>
      </w:r>
      <w:r w:rsidR="00D26229" w:rsidRPr="00D26229">
        <w:rPr>
          <w:rFonts w:ascii="Times New Roman" w:eastAsia="Times New Roman" w:hAnsi="Times New Roman" w:cs="Times New Roman"/>
          <w:i/>
          <w:iCs/>
          <w:color w:val="000000"/>
          <w:kern w:val="0"/>
          <w:sz w:val="20"/>
          <w:szCs w:val="20"/>
          <w:lang w:eastAsia="tr-TR"/>
          <w14:ligatures w14:val="none"/>
        </w:rPr>
        <w:t>2 – Ömerfaruk SARIBAL</w:t>
      </w:r>
    </w:p>
    <w:p w14:paraId="60E572C7" w14:textId="338D5D2C" w:rsidR="00D26229"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r w:rsidRPr="00D26229">
        <w:rPr>
          <w:rFonts w:ascii="Times New Roman" w:eastAsia="Times New Roman" w:hAnsi="Times New Roman" w:cs="Times New Roman"/>
          <w:i/>
          <w:iCs/>
          <w:color w:val="000000"/>
          <w:kern w:val="0"/>
          <w:sz w:val="20"/>
          <w:szCs w:val="20"/>
          <w:lang w:eastAsia="tr-TR"/>
          <w14:ligatures w14:val="none"/>
        </w:rPr>
        <w:t>22290230 – Ahmet ATAR</w:t>
      </w:r>
    </w:p>
    <w:p w14:paraId="65718227" w14:textId="77777777" w:rsidR="00D26229" w:rsidRPr="00D26229"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p>
    <w:p w14:paraId="729477F5" w14:textId="1D84A8E3"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1. Data Source Selection</w:t>
      </w:r>
    </w:p>
    <w:p w14:paraId="44CAF727" w14:textId="33A3C629"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In this project, we utilize publicly available financial market data from </w:t>
      </w:r>
      <w:r w:rsidR="00406101">
        <w:rPr>
          <w:rFonts w:ascii="Times New Roman" w:eastAsia="Times New Roman" w:hAnsi="Times New Roman" w:cs="Times New Roman"/>
          <w:color w:val="000000"/>
          <w:kern w:val="0"/>
          <w:lang w:eastAsia="tr-TR"/>
          <w14:ligatures w14:val="none"/>
        </w:rPr>
        <w:t>Investing</w:t>
      </w:r>
      <w:r w:rsidR="005706EB">
        <w:rPr>
          <w:rFonts w:ascii="Times New Roman" w:eastAsia="Times New Roman" w:hAnsi="Times New Roman" w:cs="Times New Roman"/>
          <w:color w:val="000000"/>
          <w:kern w:val="0"/>
          <w:lang w:eastAsia="tr-TR"/>
          <w14:ligatures w14:val="none"/>
        </w:rPr>
        <w:t>.</w:t>
      </w:r>
      <w:r w:rsidRPr="00AF4D86">
        <w:rPr>
          <w:rFonts w:ascii="Times New Roman" w:eastAsia="Times New Roman" w:hAnsi="Times New Roman" w:cs="Times New Roman"/>
          <w:color w:val="000000"/>
          <w:kern w:val="0"/>
          <w:lang w:eastAsia="tr-TR"/>
          <w14:ligatures w14:val="none"/>
        </w:rPr>
        <w:t xml:space="preserve"> </w:t>
      </w:r>
      <w:r w:rsidR="005706EB">
        <w:rPr>
          <w:rFonts w:ascii="Times New Roman" w:eastAsia="Times New Roman" w:hAnsi="Times New Roman" w:cs="Times New Roman"/>
          <w:color w:val="000000"/>
          <w:kern w:val="0"/>
          <w:lang w:eastAsia="tr-TR"/>
          <w14:ligatures w14:val="none"/>
        </w:rPr>
        <w:t xml:space="preserve">Investing </w:t>
      </w:r>
      <w:r w:rsidRPr="00AF4D86">
        <w:rPr>
          <w:rFonts w:ascii="Times New Roman" w:eastAsia="Times New Roman" w:hAnsi="Times New Roman" w:cs="Times New Roman"/>
          <w:color w:val="000000"/>
          <w:kern w:val="0"/>
          <w:lang w:eastAsia="tr-TR"/>
          <w14:ligatures w14:val="none"/>
        </w:rPr>
        <w:t>is chosen because it provides:</w:t>
      </w:r>
    </w:p>
    <w:p w14:paraId="39786477" w14:textId="77777777"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Reliable and up-to-date historical price data</w:t>
      </w:r>
    </w:p>
    <w:p w14:paraId="5AB30624" w14:textId="414266EA"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Easy access without requiring an API key</w:t>
      </w:r>
    </w:p>
    <w:p w14:paraId="20FF75E9" w14:textId="77777777"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High-quality time series suitable for forecasting models such as ARIMA and LSTM</w:t>
      </w:r>
    </w:p>
    <w:p w14:paraId="035B3587" w14:textId="77777777"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Consistent data for equities, ETFs, bonds, and commodities</w:t>
      </w:r>
    </w:p>
    <w:p w14:paraId="2C0866C8" w14:textId="682CC3BE" w:rsid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Th</w:t>
      </w:r>
      <w:r w:rsidR="005706EB">
        <w:rPr>
          <w:rFonts w:ascii="Times New Roman" w:eastAsia="Times New Roman" w:hAnsi="Times New Roman" w:cs="Times New Roman"/>
          <w:color w:val="000000"/>
          <w:kern w:val="0"/>
          <w:lang w:eastAsia="tr-TR"/>
          <w14:ligatures w14:val="none"/>
        </w:rPr>
        <w:t>ese</w:t>
      </w:r>
      <w:r w:rsidRPr="00AF4D86">
        <w:rPr>
          <w:rFonts w:ascii="Times New Roman" w:eastAsia="Times New Roman" w:hAnsi="Times New Roman" w:cs="Times New Roman"/>
          <w:color w:val="000000"/>
          <w:kern w:val="0"/>
          <w:lang w:eastAsia="tr-TR"/>
          <w14:ligatures w14:val="none"/>
        </w:rPr>
        <w:t xml:space="preserve"> make it an ideal source for building an AI-powered robo-advisory simulation.</w:t>
      </w:r>
    </w:p>
    <w:p w14:paraId="1DBDD189" w14:textId="77777777"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2. Selected Asset Set</w:t>
      </w:r>
    </w:p>
    <w:p w14:paraId="161C3848" w14:textId="77777777"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To construct a diversified and realistic portfolio universe, we include six widely-used financial instruments:</w:t>
      </w:r>
    </w:p>
    <w:p w14:paraId="53A7EEE2"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AAPL – Apple Inc. (technology stock)</w:t>
      </w:r>
    </w:p>
    <w:p w14:paraId="6C842DF0"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MSFT – Microsoft Corp. (technology stock)</w:t>
      </w:r>
    </w:p>
    <w:p w14:paraId="25E34839"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SPY – S&amp;P 500 ETF (broad market benchmark)</w:t>
      </w:r>
    </w:p>
    <w:p w14:paraId="1B568C19"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QQQ – NASDAQ-100 ETF (growth/tech heavy)</w:t>
      </w:r>
    </w:p>
    <w:p w14:paraId="6249694E"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TLT – 20+ Year Treasury Bond ETF (low-risk fixed income)</w:t>
      </w:r>
    </w:p>
    <w:p w14:paraId="3559C774"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GLD – Gold ETF (commodity hedge asset)</w:t>
      </w:r>
    </w:p>
    <w:p w14:paraId="274AB773" w14:textId="185E352E" w:rsid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This set provides representation across different risk levels, allowing the model to create meaningful conservative, balanced, and aggressive portfolios.</w:t>
      </w:r>
    </w:p>
    <w:p w14:paraId="4EF82485" w14:textId="77777777"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3. Time Range Selection</w:t>
      </w:r>
    </w:p>
    <w:p w14:paraId="209DF1D0" w14:textId="77777777"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We selected the time period January 1, 2015 – November 1, 2024, covering nearly 10 years of market activity. This range was chosen because it includes multiple important market regimes:</w:t>
      </w:r>
    </w:p>
    <w:p w14:paraId="665276D3"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Pre-pandemic bull market</w:t>
      </w:r>
    </w:p>
    <w:p w14:paraId="04A57AB0"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COVID-19 crash (2020)</w:t>
      </w:r>
    </w:p>
    <w:p w14:paraId="5B6052FB"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Post-pandemic recovery</w:t>
      </w:r>
    </w:p>
    <w:p w14:paraId="195C44FF"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High-inflation and interest-rate cycle (2022–2023)</w:t>
      </w:r>
    </w:p>
    <w:p w14:paraId="03CFAE00"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Recent stabilization phase (2024)</w:t>
      </w:r>
    </w:p>
    <w:p w14:paraId="74E9EF25" w14:textId="781BA971" w:rsidR="00896C91"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lastRenderedPageBreak/>
        <w:t>Using such a broad window ensures that the forecasting models observe different market conditions, improving robustness and making the risk/return analysis more realistic.</w:t>
      </w:r>
    </w:p>
    <w:p w14:paraId="4FFF57E0" w14:textId="77777777"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4. Why This Dataset Works for Our Project</w:t>
      </w:r>
    </w:p>
    <w:p w14:paraId="11DB0FE2" w14:textId="77777777"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This dataset supports all key components of the robo-advisor:</w:t>
      </w:r>
    </w:p>
    <w:p w14:paraId="1BFD0CF9"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Forecasting:</w:t>
      </w:r>
      <w:r w:rsidRPr="00AF4D86">
        <w:rPr>
          <w:rFonts w:ascii="Times New Roman" w:eastAsia="Times New Roman" w:hAnsi="Times New Roman" w:cs="Times New Roman"/>
          <w:color w:val="000000"/>
          <w:kern w:val="0"/>
          <w:lang w:eastAsia="tr-TR"/>
          <w14:ligatures w14:val="none"/>
        </w:rPr>
        <w:t> Sufficient long-term historical data for ARIMA and LSTM</w:t>
      </w:r>
    </w:p>
    <w:p w14:paraId="55E764F4"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Risk Analysis:</w:t>
      </w:r>
      <w:r w:rsidRPr="00AF4D86">
        <w:rPr>
          <w:rFonts w:ascii="Times New Roman" w:eastAsia="Times New Roman" w:hAnsi="Times New Roman" w:cs="Times New Roman"/>
          <w:color w:val="000000"/>
          <w:kern w:val="0"/>
          <w:lang w:eastAsia="tr-TR"/>
          <w14:ligatures w14:val="none"/>
        </w:rPr>
        <w:t> High-quality daily returns for volatility computation</w:t>
      </w:r>
    </w:p>
    <w:p w14:paraId="2918BCD5"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Portfolio Construction:</w:t>
      </w:r>
      <w:r w:rsidRPr="00AF4D86">
        <w:rPr>
          <w:rFonts w:ascii="Times New Roman" w:eastAsia="Times New Roman" w:hAnsi="Times New Roman" w:cs="Times New Roman"/>
          <w:color w:val="000000"/>
          <w:kern w:val="0"/>
          <w:lang w:eastAsia="tr-TR"/>
          <w14:ligatures w14:val="none"/>
        </w:rPr>
        <w:t> Assets that naturally map to different investor risk profiles</w:t>
      </w:r>
    </w:p>
    <w:p w14:paraId="35110934"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Scenario Testing:</w:t>
      </w:r>
      <w:r w:rsidRPr="00AF4D86">
        <w:rPr>
          <w:rFonts w:ascii="Times New Roman" w:eastAsia="Times New Roman" w:hAnsi="Times New Roman" w:cs="Times New Roman"/>
          <w:color w:val="000000"/>
          <w:kern w:val="0"/>
          <w:lang w:eastAsia="tr-TR"/>
          <w14:ligatures w14:val="none"/>
        </w:rPr>
        <w:t> Includes crisis and recovery periods</w:t>
      </w:r>
    </w:p>
    <w:p w14:paraId="699AD0DA"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ESG Integration:</w:t>
      </w:r>
      <w:r w:rsidRPr="00AF4D86">
        <w:rPr>
          <w:rFonts w:ascii="Times New Roman" w:eastAsia="Times New Roman" w:hAnsi="Times New Roman" w:cs="Times New Roman"/>
          <w:color w:val="000000"/>
          <w:kern w:val="0"/>
          <w:lang w:eastAsia="tr-TR"/>
          <w14:ligatures w14:val="none"/>
        </w:rPr>
        <w:t> Selected assets have publicly available ESG scores</w:t>
      </w:r>
    </w:p>
    <w:p w14:paraId="6D541DAC" w14:textId="2E60B272" w:rsid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Overall, this combination provides a strong foundation for building and evaluating an AI-powered investment recommendation system.</w:t>
      </w:r>
    </w:p>
    <w:p w14:paraId="42726FFF" w14:textId="1A76486D" w:rsidR="003D1FDC" w:rsidRPr="003D1FDC" w:rsidRDefault="003D1FDC" w:rsidP="003D1FD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3D1FDC">
        <w:rPr>
          <w:rFonts w:ascii="Times New Roman" w:eastAsia="Times New Roman" w:hAnsi="Times New Roman" w:cs="Times New Roman"/>
          <w:b/>
          <w:bCs/>
          <w:color w:val="000000"/>
          <w:kern w:val="0"/>
          <w:sz w:val="27"/>
          <w:szCs w:val="27"/>
          <w:lang w:eastAsia="tr-TR"/>
          <w14:ligatures w14:val="none"/>
        </w:rPr>
        <w:t>Data Cleaning &amp; Preprocessing</w:t>
      </w:r>
    </w:p>
    <w:p w14:paraId="3B3F55FD" w14:textId="77777777" w:rsidR="003D1FDC"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Investing.com datasets use European formatting (comma decimals, dot thousands).</w:t>
      </w:r>
      <w:r w:rsidRPr="003D1FDC">
        <w:rPr>
          <w:rFonts w:ascii="Times New Roman" w:eastAsia="Times New Roman" w:hAnsi="Times New Roman" w:cs="Times New Roman"/>
          <w:color w:val="000000"/>
          <w:kern w:val="0"/>
          <w:lang w:eastAsia="tr-TR"/>
          <w14:ligatures w14:val="none"/>
        </w:rPr>
        <w:br/>
        <w:t>The following steps were applied:</w:t>
      </w:r>
    </w:p>
    <w:p w14:paraId="07D2A846" w14:textId="795FCEA5" w:rsidR="003D1FDC" w:rsidRP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3D1FDC">
        <w:rPr>
          <w:rFonts w:ascii="Times New Roman" w:eastAsia="Times New Roman" w:hAnsi="Times New Roman" w:cs="Times New Roman"/>
          <w:b/>
          <w:bCs/>
          <w:color w:val="000000"/>
          <w:kern w:val="0"/>
          <w:lang w:eastAsia="tr-TR"/>
          <w14:ligatures w14:val="none"/>
        </w:rPr>
        <w:t>Cleaning numeric fields</w:t>
      </w:r>
    </w:p>
    <w:p w14:paraId="378E4558" w14:textId="77777777" w:rsidR="003D1FDC" w:rsidRPr="003D1FDC"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Replace "." (thousand separator)</w:t>
      </w:r>
    </w:p>
    <w:p w14:paraId="6807187C" w14:textId="77777777" w:rsidR="003D1FDC" w:rsidRPr="003D1FDC"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Replace "," with "." (decimal separator)</w:t>
      </w:r>
    </w:p>
    <w:p w14:paraId="73432CE1" w14:textId="2E4644F7" w:rsidR="003D1FDC" w:rsidRPr="003D1FDC"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Convert to numeric</w:t>
      </w:r>
    </w:p>
    <w:p w14:paraId="731D99CA" w14:textId="77777777" w:rsidR="003D1FDC"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Example: "250,42" → 250.42</w:t>
      </w:r>
    </w:p>
    <w:p w14:paraId="51A1C35B" w14:textId="3AC24493" w:rsidR="003D1FDC" w:rsidRP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3D1FDC">
        <w:rPr>
          <w:rFonts w:ascii="Times New Roman" w:eastAsia="Times New Roman" w:hAnsi="Times New Roman" w:cs="Times New Roman"/>
          <w:b/>
          <w:bCs/>
          <w:color w:val="000000"/>
          <w:kern w:val="0"/>
          <w:lang w:eastAsia="tr-TR"/>
          <w14:ligatures w14:val="none"/>
        </w:rPr>
        <w:t>Volume normalization</w:t>
      </w:r>
    </w:p>
    <w:p w14:paraId="45D06654" w14:textId="77777777" w:rsidR="003D1FDC"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Volumes contain “M” or “B” units (millions, billions).</w:t>
      </w:r>
      <w:r w:rsidRPr="003D1FDC">
        <w:rPr>
          <w:rFonts w:ascii="Times New Roman" w:eastAsia="Times New Roman" w:hAnsi="Times New Roman" w:cs="Times New Roman"/>
          <w:color w:val="000000"/>
          <w:kern w:val="0"/>
          <w:lang w:eastAsia="tr-TR"/>
          <w14:ligatures w14:val="none"/>
        </w:rPr>
        <w:br/>
        <w:t>These are converted into numerical form:</w:t>
      </w:r>
    </w:p>
    <w:p w14:paraId="66F29069" w14:textId="77777777" w:rsidR="003D1FDC" w:rsidRPr="003D1FDC" w:rsidRDefault="003D1FDC" w:rsidP="003D1FDC">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“39,48M” → 39.48 × 10⁶</w:t>
      </w:r>
    </w:p>
    <w:p w14:paraId="029AFB91" w14:textId="77777777" w:rsidR="003D1FDC" w:rsidRPr="003D1FDC" w:rsidRDefault="003D1FDC" w:rsidP="003D1FDC">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“1,2B” → 1.2 × 10⁹</w:t>
      </w:r>
    </w:p>
    <w:p w14:paraId="0EB1A0FA" w14:textId="267B0C1E" w:rsidR="003D1FDC" w:rsidRP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3D1FDC">
        <w:rPr>
          <w:rFonts w:ascii="Times New Roman" w:eastAsia="Times New Roman" w:hAnsi="Times New Roman" w:cs="Times New Roman"/>
          <w:b/>
          <w:bCs/>
          <w:color w:val="000000"/>
          <w:kern w:val="0"/>
          <w:lang w:eastAsia="tr-TR"/>
          <w14:ligatures w14:val="none"/>
        </w:rPr>
        <w:t>Sorting and indexing</w:t>
      </w:r>
    </w:p>
    <w:p w14:paraId="4F794C3F" w14:textId="77777777" w:rsidR="003D1FDC" w:rsidRPr="003D1FDC"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Dates converted from string (dd.mm.yyyy)</w:t>
      </w:r>
    </w:p>
    <w:p w14:paraId="7B6EEAEB" w14:textId="77777777" w:rsidR="003D1FDC" w:rsidRPr="003D1FDC"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Sorted chronologically (oldest → newest)</w:t>
      </w:r>
    </w:p>
    <w:p w14:paraId="693737FF" w14:textId="77777777" w:rsidR="003D1FDC" w:rsidRPr="003D1FDC"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New index assigned</w:t>
      </w:r>
    </w:p>
    <w:p w14:paraId="066C30CB" w14:textId="77777777" w:rsidR="003D1FDC"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This ensures correct time-series behavior</w:t>
      </w:r>
    </w:p>
    <w:p w14:paraId="2224BDD2" w14:textId="77777777" w:rsid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p>
    <w:p w14:paraId="04693A92"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4D7D98B4"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151709E3" w14:textId="51D0ACAF" w:rsidR="005706EB" w:rsidRPr="00D26229" w:rsidRDefault="005706EB" w:rsidP="00AF4D86">
      <w:pPr>
        <w:spacing w:before="100" w:beforeAutospacing="1" w:after="100" w:afterAutospacing="1" w:line="240" w:lineRule="auto"/>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lastRenderedPageBreak/>
        <w:t>Closing Prices</w:t>
      </w:r>
    </w:p>
    <w:p w14:paraId="42772D06" w14:textId="77777777" w:rsidR="00E04B7C" w:rsidRDefault="00E04B7C" w:rsidP="00E04B7C">
      <w:pPr>
        <w:pStyle w:val="NormalWeb"/>
        <w:rPr>
          <w:color w:val="000000"/>
        </w:rPr>
      </w:pPr>
      <w:r>
        <w:rPr>
          <w:color w:val="000000"/>
        </w:rPr>
        <w:t>The closing price trends of the selected assets reveal clear differences in market behavior across stocks, bonds, and commodities during the 2015–2024 period. Equity assets—AAPL, MSFT, SPY, and QQQ—show strong upward long-term trends, reflecting the post-2015 technology-driven bull market and the significant acceleration in growth after the COVID-19 market recovery. Among these, QQQ and AAPL exhibit the highest growth rates, consistent with the dominance of large-cap technology companies over the last decade.</w:t>
      </w:r>
    </w:p>
    <w:p w14:paraId="710708E8" w14:textId="77777777" w:rsidR="00E04B7C" w:rsidRDefault="00E04B7C" w:rsidP="00E04B7C">
      <w:pPr>
        <w:pStyle w:val="NormalWeb"/>
        <w:rPr>
          <w:color w:val="000000"/>
        </w:rPr>
      </w:pPr>
      <w:r>
        <w:rPr>
          <w:color w:val="000000"/>
        </w:rPr>
        <w:t>TLT, the long-term U.S. Treasury bond ETF, behaves very differently. Its closing prices display a downward trend beginning in 2021, primarily due to rising interest rates and inflationary pressures. This makes TLT a counter-cyclical asset relative to equities, providing diversification benefits.</w:t>
      </w:r>
    </w:p>
    <w:p w14:paraId="35EDA24B" w14:textId="77777777" w:rsidR="00E04B7C" w:rsidRDefault="00E04B7C" w:rsidP="00E04B7C">
      <w:pPr>
        <w:pStyle w:val="NormalWeb"/>
        <w:rPr>
          <w:color w:val="000000"/>
        </w:rPr>
      </w:pPr>
      <w:r>
        <w:rPr>
          <w:color w:val="000000"/>
        </w:rPr>
        <w:t>GLD, representing gold prices, shows a steady but moderate upward trend, with sharp increases during periods of heightened uncertainty—most notably during the 2020 COVID crisis and again during the inflation spike in 2022–2023. This confirms gold’s role as a defensive hedge asset.</w:t>
      </w:r>
    </w:p>
    <w:p w14:paraId="7877F461" w14:textId="77777777" w:rsidR="00E04B7C" w:rsidRDefault="00E04B7C" w:rsidP="00E04B7C">
      <w:pPr>
        <w:pStyle w:val="NormalWeb"/>
        <w:rPr>
          <w:color w:val="000000"/>
        </w:rPr>
      </w:pPr>
      <w:r>
        <w:rPr>
          <w:color w:val="000000"/>
        </w:rPr>
        <w:t>Overall, the closing price analysis highlights three distinct behavior groups:</w:t>
      </w:r>
    </w:p>
    <w:p w14:paraId="2CE724FA" w14:textId="77777777" w:rsidR="00E04B7C" w:rsidRPr="00E04B7C" w:rsidRDefault="00E04B7C" w:rsidP="00E04B7C">
      <w:pPr>
        <w:pStyle w:val="NormalWeb"/>
        <w:numPr>
          <w:ilvl w:val="0"/>
          <w:numId w:val="5"/>
        </w:numPr>
        <w:rPr>
          <w:b/>
          <w:bCs/>
          <w:color w:val="000000"/>
        </w:rPr>
      </w:pPr>
      <w:r w:rsidRPr="00E04B7C">
        <w:rPr>
          <w:rStyle w:val="Gl"/>
          <w:rFonts w:eastAsiaTheme="majorEastAsia"/>
          <w:b w:val="0"/>
          <w:bCs w:val="0"/>
          <w:color w:val="000000"/>
        </w:rPr>
        <w:t>High-growth equities</w:t>
      </w:r>
      <w:r w:rsidRPr="00E04B7C">
        <w:rPr>
          <w:rStyle w:val="Gl"/>
          <w:rFonts w:eastAsiaTheme="majorEastAsia"/>
          <w:color w:val="000000"/>
        </w:rPr>
        <w:t>:</w:t>
      </w:r>
      <w:r w:rsidRPr="00E04B7C">
        <w:rPr>
          <w:rStyle w:val="apple-converted-space"/>
          <w:rFonts w:eastAsiaTheme="majorEastAsia"/>
          <w:color w:val="000000"/>
        </w:rPr>
        <w:t> </w:t>
      </w:r>
      <w:r w:rsidRPr="00E04B7C">
        <w:rPr>
          <w:i/>
          <w:iCs/>
          <w:color w:val="000000"/>
        </w:rPr>
        <w:t>AAPL, MSFT, QQQ, SPY</w:t>
      </w:r>
    </w:p>
    <w:p w14:paraId="3A824856" w14:textId="77777777" w:rsidR="00E04B7C" w:rsidRPr="00E04B7C" w:rsidRDefault="00E04B7C" w:rsidP="00E04B7C">
      <w:pPr>
        <w:pStyle w:val="NormalWeb"/>
        <w:numPr>
          <w:ilvl w:val="0"/>
          <w:numId w:val="5"/>
        </w:numPr>
        <w:rPr>
          <w:b/>
          <w:bCs/>
          <w:color w:val="000000"/>
        </w:rPr>
      </w:pPr>
      <w:r w:rsidRPr="00E04B7C">
        <w:rPr>
          <w:rStyle w:val="Gl"/>
          <w:rFonts w:eastAsiaTheme="majorEastAsia"/>
          <w:b w:val="0"/>
          <w:bCs w:val="0"/>
          <w:color w:val="000000"/>
        </w:rPr>
        <w:t>Defensive commodity:</w:t>
      </w:r>
      <w:r w:rsidRPr="00E04B7C">
        <w:rPr>
          <w:rStyle w:val="apple-converted-space"/>
          <w:rFonts w:eastAsiaTheme="majorEastAsia"/>
          <w:b/>
          <w:bCs/>
          <w:color w:val="000000"/>
        </w:rPr>
        <w:t> </w:t>
      </w:r>
      <w:r w:rsidRPr="00E04B7C">
        <w:rPr>
          <w:i/>
          <w:iCs/>
          <w:color w:val="000000"/>
        </w:rPr>
        <w:t>GLD</w:t>
      </w:r>
    </w:p>
    <w:p w14:paraId="331DE9F4" w14:textId="77777777" w:rsidR="00E04B7C" w:rsidRPr="00E04B7C" w:rsidRDefault="00E04B7C" w:rsidP="00E04B7C">
      <w:pPr>
        <w:pStyle w:val="NormalWeb"/>
        <w:numPr>
          <w:ilvl w:val="0"/>
          <w:numId w:val="5"/>
        </w:numPr>
        <w:rPr>
          <w:b/>
          <w:bCs/>
          <w:color w:val="000000"/>
        </w:rPr>
      </w:pPr>
      <w:r w:rsidRPr="00E04B7C">
        <w:rPr>
          <w:rStyle w:val="Gl"/>
          <w:rFonts w:eastAsiaTheme="majorEastAsia"/>
          <w:b w:val="0"/>
          <w:bCs w:val="0"/>
          <w:color w:val="000000"/>
        </w:rPr>
        <w:t>Interest-rate-sensitive fixed income:</w:t>
      </w:r>
      <w:r w:rsidRPr="00E04B7C">
        <w:rPr>
          <w:rStyle w:val="apple-converted-space"/>
          <w:rFonts w:eastAsiaTheme="majorEastAsia"/>
          <w:b/>
          <w:bCs/>
          <w:i/>
          <w:iCs/>
          <w:color w:val="000000"/>
        </w:rPr>
        <w:t> </w:t>
      </w:r>
      <w:r w:rsidRPr="00E04B7C">
        <w:rPr>
          <w:i/>
          <w:iCs/>
          <w:color w:val="000000"/>
        </w:rPr>
        <w:t>TLT</w:t>
      </w:r>
    </w:p>
    <w:p w14:paraId="1DA4FFE6" w14:textId="77777777" w:rsidR="00E04B7C" w:rsidRDefault="00E04B7C" w:rsidP="00E04B7C">
      <w:pPr>
        <w:pStyle w:val="NormalWeb"/>
        <w:rPr>
          <w:color w:val="000000"/>
        </w:rPr>
      </w:pPr>
      <w:r>
        <w:rPr>
          <w:color w:val="000000"/>
        </w:rPr>
        <w:t>These patterns support the construction of diversified portfolios tailored to different risk levels, aligning with the objectives of the robo-advisory system.</w:t>
      </w:r>
    </w:p>
    <w:p w14:paraId="554A5FC8" w14:textId="77777777" w:rsidR="00896C91" w:rsidRPr="005706EB" w:rsidRDefault="00896C91" w:rsidP="00AF4D86">
      <w:pPr>
        <w:spacing w:before="100" w:beforeAutospacing="1" w:after="100" w:afterAutospacing="1" w:line="240" w:lineRule="auto"/>
        <w:rPr>
          <w:rFonts w:ascii="Times New Roman" w:eastAsia="Times New Roman" w:hAnsi="Times New Roman" w:cs="Times New Roman"/>
          <w:b/>
          <w:bCs/>
          <w:color w:val="000000"/>
          <w:kern w:val="0"/>
          <w:sz w:val="28"/>
          <w:szCs w:val="28"/>
          <w:lang w:eastAsia="tr-TR"/>
          <w14:ligatures w14:val="none"/>
        </w:rPr>
      </w:pPr>
    </w:p>
    <w:p w14:paraId="66DA2072" w14:textId="37FEC346" w:rsidR="005706EB" w:rsidRDefault="005706EB"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AAPL</w:t>
      </w:r>
    </w:p>
    <w:p w14:paraId="714C37D3" w14:textId="3626B04B" w:rsidR="005706EB" w:rsidRPr="00AF4D86" w:rsidRDefault="005706EB"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706EB">
        <w:rPr>
          <w:rFonts w:ascii="Times New Roman" w:eastAsia="Times New Roman" w:hAnsi="Times New Roman" w:cs="Times New Roman"/>
          <w:noProof/>
          <w:color w:val="000000"/>
          <w:kern w:val="0"/>
          <w:lang w:eastAsia="tr-TR"/>
          <w14:ligatures w14:val="none"/>
        </w:rPr>
        <w:drawing>
          <wp:inline distT="0" distB="0" distL="0" distR="0" wp14:anchorId="0545FDDF" wp14:editId="757D0911">
            <wp:extent cx="4359965" cy="2179983"/>
            <wp:effectExtent l="0" t="0" r="0" b="4445"/>
            <wp:docPr id="1737872868" name="Resim 1" descr="çizgi, öykü gelişim çizgisi; kumpas; grafiğini çıkarma, yazı tip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2868" name="Resim 1" descr="çizgi, öykü gelişim çizgisi; kumpas; grafiğini çıkarma, yazı tipi, metin içeren bir resim&#10;&#10;Yapay zeka tarafından oluşturulmuş içerik yanlış olabilir."/>
                    <pic:cNvPicPr/>
                  </pic:nvPicPr>
                  <pic:blipFill>
                    <a:blip r:embed="rId7"/>
                    <a:stretch>
                      <a:fillRect/>
                    </a:stretch>
                  </pic:blipFill>
                  <pic:spPr>
                    <a:xfrm>
                      <a:off x="0" y="0"/>
                      <a:ext cx="4429948" cy="2214974"/>
                    </a:xfrm>
                    <a:prstGeom prst="rect">
                      <a:avLst/>
                    </a:prstGeom>
                  </pic:spPr>
                </pic:pic>
              </a:graphicData>
            </a:graphic>
          </wp:inline>
        </w:drawing>
      </w:r>
    </w:p>
    <w:p w14:paraId="5C7CB38B"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30B25BFE"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26FC0BE2" w14:textId="3700B1D0" w:rsidR="005706EB"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lastRenderedPageBreak/>
        <w:t>MSFT</w:t>
      </w:r>
    </w:p>
    <w:p w14:paraId="08035C4C" w14:textId="4D65EA5C" w:rsidR="00391751"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91751">
        <w:rPr>
          <w:rFonts w:ascii="Times New Roman" w:eastAsia="Times New Roman" w:hAnsi="Times New Roman" w:cs="Times New Roman"/>
          <w:noProof/>
          <w:color w:val="000000"/>
          <w:kern w:val="0"/>
          <w:lang w:eastAsia="tr-TR"/>
          <w14:ligatures w14:val="none"/>
        </w:rPr>
        <w:drawing>
          <wp:inline distT="0" distB="0" distL="0" distR="0" wp14:anchorId="72880E3C" wp14:editId="5A5D32F8">
            <wp:extent cx="4293235" cy="2146618"/>
            <wp:effectExtent l="0" t="0" r="0" b="0"/>
            <wp:docPr id="1763876535"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76535" name="Resim 1" descr="çizgi, öykü gelişim çizgisi; kumpas; grafiğini çıkarma, diyagram, eğim, bayır içeren bir resim&#10;&#10;Yapay zeka tarafından oluşturulmuş içerik yanlış olabilir."/>
                    <pic:cNvPicPr/>
                  </pic:nvPicPr>
                  <pic:blipFill>
                    <a:blip r:embed="rId8"/>
                    <a:stretch>
                      <a:fillRect/>
                    </a:stretch>
                  </pic:blipFill>
                  <pic:spPr>
                    <a:xfrm>
                      <a:off x="0" y="0"/>
                      <a:ext cx="4370702" cy="2185352"/>
                    </a:xfrm>
                    <a:prstGeom prst="rect">
                      <a:avLst/>
                    </a:prstGeom>
                  </pic:spPr>
                </pic:pic>
              </a:graphicData>
            </a:graphic>
          </wp:inline>
        </w:drawing>
      </w:r>
    </w:p>
    <w:p w14:paraId="478BFAE1" w14:textId="69C287D4" w:rsidR="00391751"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SPY</w:t>
      </w:r>
    </w:p>
    <w:p w14:paraId="27864982" w14:textId="162C0DAA" w:rsidR="005706EB"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706EB">
        <w:rPr>
          <w:rFonts w:ascii="Times New Roman" w:hAnsi="Times New Roman" w:cs="Times New Roman"/>
          <w:noProof/>
        </w:rPr>
        <w:drawing>
          <wp:inline distT="0" distB="0" distL="0" distR="0" wp14:anchorId="66BDC47D" wp14:editId="126B609D">
            <wp:extent cx="4293235" cy="2146617"/>
            <wp:effectExtent l="0" t="0" r="0" b="0"/>
            <wp:docPr id="1206886811" name="Resim 1" descr="çizgi, öykü gelişim çizgisi; kumpas; grafiğini çıkarma, eğim, bayır,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86811" name="Resim 1" descr="çizgi, öykü gelişim çizgisi; kumpas; grafiğini çıkarma, eğim, bayır, yazı tipi içeren bir resim&#10;&#10;Yapay zeka tarafından oluşturulmuş içerik yanlış olabilir."/>
                    <pic:cNvPicPr/>
                  </pic:nvPicPr>
                  <pic:blipFill>
                    <a:blip r:embed="rId9"/>
                    <a:stretch>
                      <a:fillRect/>
                    </a:stretch>
                  </pic:blipFill>
                  <pic:spPr>
                    <a:xfrm>
                      <a:off x="0" y="0"/>
                      <a:ext cx="4436470" cy="2218235"/>
                    </a:xfrm>
                    <a:prstGeom prst="rect">
                      <a:avLst/>
                    </a:prstGeom>
                  </pic:spPr>
                </pic:pic>
              </a:graphicData>
            </a:graphic>
          </wp:inline>
        </w:drawing>
      </w:r>
    </w:p>
    <w:p w14:paraId="03FE6783" w14:textId="77777777" w:rsidR="00896C91" w:rsidRDefault="00896C9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AD239BD" w14:textId="77777777" w:rsidR="003679A3" w:rsidRPr="00AF4D86" w:rsidRDefault="003679A3"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1BC9514" w14:textId="1BBD4A25" w:rsidR="00F655E4" w:rsidRDefault="005706EB" w:rsidP="00AF4D86">
      <w:pPr>
        <w:rPr>
          <w:rFonts w:ascii="Times New Roman" w:hAnsi="Times New Roman" w:cs="Times New Roman"/>
        </w:rPr>
      </w:pPr>
      <w:r>
        <w:rPr>
          <w:rFonts w:ascii="Times New Roman" w:hAnsi="Times New Roman" w:cs="Times New Roman"/>
        </w:rPr>
        <w:t>QQQ</w:t>
      </w:r>
    </w:p>
    <w:p w14:paraId="2CAC8943" w14:textId="46D474B0" w:rsidR="005706EB" w:rsidRDefault="005706EB" w:rsidP="00AF4D86">
      <w:pPr>
        <w:rPr>
          <w:rFonts w:ascii="Times New Roman" w:hAnsi="Times New Roman" w:cs="Times New Roman"/>
        </w:rPr>
      </w:pPr>
      <w:r w:rsidRPr="005706EB">
        <w:rPr>
          <w:rFonts w:ascii="Times New Roman" w:hAnsi="Times New Roman" w:cs="Times New Roman"/>
          <w:noProof/>
        </w:rPr>
        <w:drawing>
          <wp:inline distT="0" distB="0" distL="0" distR="0" wp14:anchorId="4E2AF9D7" wp14:editId="547F28DB">
            <wp:extent cx="4320540" cy="2160270"/>
            <wp:effectExtent l="0" t="0" r="0" b="0"/>
            <wp:docPr id="2041160056"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60056" name="Resim 1" descr="çizgi, öykü gelişim çizgisi; kumpas; grafiğini çıkarma, diyagram, eğim, bayır içeren bir resim&#10;&#10;Yapay zeka tarafından oluşturulmuş içerik yanlış olabilir."/>
                    <pic:cNvPicPr/>
                  </pic:nvPicPr>
                  <pic:blipFill>
                    <a:blip r:embed="rId10"/>
                    <a:stretch>
                      <a:fillRect/>
                    </a:stretch>
                  </pic:blipFill>
                  <pic:spPr>
                    <a:xfrm>
                      <a:off x="0" y="0"/>
                      <a:ext cx="4379644" cy="2189822"/>
                    </a:xfrm>
                    <a:prstGeom prst="rect">
                      <a:avLst/>
                    </a:prstGeom>
                  </pic:spPr>
                </pic:pic>
              </a:graphicData>
            </a:graphic>
          </wp:inline>
        </w:drawing>
      </w:r>
    </w:p>
    <w:p w14:paraId="59BB3CC0" w14:textId="77777777" w:rsidR="003D1FDC" w:rsidRDefault="003D1FDC" w:rsidP="00AF4D86">
      <w:pPr>
        <w:rPr>
          <w:rFonts w:ascii="Times New Roman" w:hAnsi="Times New Roman" w:cs="Times New Roman"/>
        </w:rPr>
      </w:pPr>
    </w:p>
    <w:p w14:paraId="62B0DD89" w14:textId="457FFA89" w:rsidR="005706EB" w:rsidRDefault="005706EB" w:rsidP="00AF4D86">
      <w:pPr>
        <w:rPr>
          <w:rFonts w:ascii="Times New Roman" w:hAnsi="Times New Roman" w:cs="Times New Roman"/>
        </w:rPr>
      </w:pPr>
      <w:r>
        <w:rPr>
          <w:rFonts w:ascii="Times New Roman" w:hAnsi="Times New Roman" w:cs="Times New Roman"/>
        </w:rPr>
        <w:lastRenderedPageBreak/>
        <w:t>TLT</w:t>
      </w:r>
    </w:p>
    <w:p w14:paraId="3D4744CA" w14:textId="616E641C" w:rsidR="005706EB" w:rsidRDefault="005706EB" w:rsidP="00AF4D86">
      <w:pPr>
        <w:rPr>
          <w:rFonts w:ascii="Times New Roman" w:hAnsi="Times New Roman" w:cs="Times New Roman"/>
        </w:rPr>
      </w:pPr>
      <w:r w:rsidRPr="005706EB">
        <w:rPr>
          <w:rFonts w:ascii="Times New Roman" w:hAnsi="Times New Roman" w:cs="Times New Roman"/>
          <w:noProof/>
        </w:rPr>
        <w:drawing>
          <wp:inline distT="0" distB="0" distL="0" distR="0" wp14:anchorId="630374D7" wp14:editId="36D2EB3E">
            <wp:extent cx="4320540" cy="2160270"/>
            <wp:effectExtent l="0" t="0" r="0" b="0"/>
            <wp:docPr id="1347177509" name="Resim 1" descr="çizgi, öykü gelişim çizgisi; kumpas; grafiğini çıkarma,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7509" name="Resim 1" descr="çizgi, öykü gelişim çizgisi; kumpas; grafiğini çıkarma, yazı tipi, diyagram içeren bir resim&#10;&#10;Yapay zeka tarafından oluşturulmuş içerik yanlış olabilir."/>
                    <pic:cNvPicPr/>
                  </pic:nvPicPr>
                  <pic:blipFill>
                    <a:blip r:embed="rId11"/>
                    <a:stretch>
                      <a:fillRect/>
                    </a:stretch>
                  </pic:blipFill>
                  <pic:spPr>
                    <a:xfrm>
                      <a:off x="0" y="0"/>
                      <a:ext cx="4360544" cy="2180272"/>
                    </a:xfrm>
                    <a:prstGeom prst="rect">
                      <a:avLst/>
                    </a:prstGeom>
                  </pic:spPr>
                </pic:pic>
              </a:graphicData>
            </a:graphic>
          </wp:inline>
        </w:drawing>
      </w:r>
    </w:p>
    <w:p w14:paraId="44DF9150" w14:textId="74B6E15B" w:rsidR="00391751" w:rsidRDefault="00391751" w:rsidP="00AF4D86">
      <w:pPr>
        <w:rPr>
          <w:rFonts w:ascii="Times New Roman" w:hAnsi="Times New Roman" w:cs="Times New Roman"/>
        </w:rPr>
      </w:pPr>
      <w:r>
        <w:rPr>
          <w:rFonts w:ascii="Times New Roman" w:hAnsi="Times New Roman" w:cs="Times New Roman"/>
        </w:rPr>
        <w:t>GLD</w:t>
      </w:r>
    </w:p>
    <w:p w14:paraId="6BA19F01" w14:textId="325DC9DF" w:rsidR="00391751" w:rsidRDefault="00391751" w:rsidP="00AF4D86">
      <w:pPr>
        <w:rPr>
          <w:rFonts w:ascii="Times New Roman" w:hAnsi="Times New Roman" w:cs="Times New Roman"/>
        </w:rPr>
      </w:pPr>
      <w:r w:rsidRPr="005706EB">
        <w:rPr>
          <w:rFonts w:ascii="Times New Roman" w:eastAsia="Times New Roman" w:hAnsi="Times New Roman" w:cs="Times New Roman"/>
          <w:noProof/>
          <w:color w:val="000000"/>
          <w:kern w:val="0"/>
          <w:lang w:eastAsia="tr-TR"/>
          <w14:ligatures w14:val="none"/>
        </w:rPr>
        <w:drawing>
          <wp:inline distT="0" distB="0" distL="0" distR="0" wp14:anchorId="5316480D" wp14:editId="182CD1E3">
            <wp:extent cx="4320540" cy="2160270"/>
            <wp:effectExtent l="0" t="0" r="0" b="0"/>
            <wp:docPr id="2056521824" name="Resim 1" descr="çizgi, öykü gelişim çizgisi; kumpas; grafiğini çıkarma, yazı tipi, makbu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1824" name="Resim 1" descr="çizgi, öykü gelişim çizgisi; kumpas; grafiğini çıkarma, yazı tipi, makbuz içeren bir resim&#10;&#10;Yapay zeka tarafından oluşturulmuş içerik yanlış olabilir."/>
                    <pic:cNvPicPr/>
                  </pic:nvPicPr>
                  <pic:blipFill>
                    <a:blip r:embed="rId12"/>
                    <a:stretch>
                      <a:fillRect/>
                    </a:stretch>
                  </pic:blipFill>
                  <pic:spPr>
                    <a:xfrm>
                      <a:off x="0" y="0"/>
                      <a:ext cx="4351764" cy="2175882"/>
                    </a:xfrm>
                    <a:prstGeom prst="rect">
                      <a:avLst/>
                    </a:prstGeom>
                  </pic:spPr>
                </pic:pic>
              </a:graphicData>
            </a:graphic>
          </wp:inline>
        </w:drawing>
      </w:r>
    </w:p>
    <w:p w14:paraId="4B2AEDCF" w14:textId="77777777" w:rsidR="0036521B" w:rsidRDefault="0036521B" w:rsidP="00AF4D86">
      <w:pPr>
        <w:rPr>
          <w:rFonts w:ascii="Times New Roman" w:hAnsi="Times New Roman" w:cs="Times New Roman"/>
        </w:rPr>
      </w:pPr>
    </w:p>
    <w:p w14:paraId="3229B296" w14:textId="0A7CB3A1" w:rsidR="00391751" w:rsidRDefault="00391751" w:rsidP="00AF4D86">
      <w:pPr>
        <w:rPr>
          <w:rFonts w:ascii="Times New Roman" w:hAnsi="Times New Roman" w:cs="Times New Roman"/>
          <w:b/>
          <w:bCs/>
          <w:sz w:val="28"/>
          <w:szCs w:val="28"/>
        </w:rPr>
      </w:pPr>
      <w:r w:rsidRPr="0036521B">
        <w:rPr>
          <w:rFonts w:ascii="Times New Roman" w:hAnsi="Times New Roman" w:cs="Times New Roman"/>
          <w:b/>
          <w:bCs/>
          <w:sz w:val="28"/>
          <w:szCs w:val="28"/>
        </w:rPr>
        <w:t>30-Days Moving Average</w:t>
      </w:r>
    </w:p>
    <w:p w14:paraId="5BC3E40C" w14:textId="77777777" w:rsidR="00896C91" w:rsidRDefault="00896C91" w:rsidP="00896C91">
      <w:pPr>
        <w:pStyle w:val="NormalWeb"/>
        <w:rPr>
          <w:color w:val="000000"/>
        </w:rPr>
      </w:pPr>
      <w:r>
        <w:rPr>
          <w:color w:val="000000"/>
        </w:rPr>
        <w:t>The 30-day moving average (MA30) provides a smoothed representation of short-term price dynamics and helps identify trend direction while reducing noise caused by daily volatility. Across the assets in our dataset, the MA30 line closely tracks the underlying price series, but with delayed reactions at turning points, which is characteristic of moving average indicators.</w:t>
      </w:r>
    </w:p>
    <w:p w14:paraId="05108032" w14:textId="77777777" w:rsidR="00896C91" w:rsidRDefault="00896C91" w:rsidP="00896C91">
      <w:pPr>
        <w:pStyle w:val="NormalWeb"/>
        <w:rPr>
          <w:color w:val="000000"/>
        </w:rPr>
      </w:pPr>
      <w:r>
        <w:rPr>
          <w:color w:val="000000"/>
        </w:rPr>
        <w:t>For equity assets (AAPL, MSFT, SPY, QQQ), the MA30 clearly highlights prolonged upward trends, especially during major growth periods such as 2017–2019 and the post-pandemic surge beginning in mid-2020. The MA30 consistently stays below the closing price during strong bullish momentum, confirming sustained trend strength. Periods where the MA30 and price converge or cross indicate short-term corrections or consolidations.</w:t>
      </w:r>
    </w:p>
    <w:p w14:paraId="6512BDDA" w14:textId="77777777" w:rsidR="00896C91" w:rsidRDefault="00896C91" w:rsidP="00896C91">
      <w:pPr>
        <w:pStyle w:val="NormalWeb"/>
        <w:rPr>
          <w:color w:val="000000"/>
        </w:rPr>
      </w:pPr>
      <w:r>
        <w:rPr>
          <w:color w:val="000000"/>
        </w:rPr>
        <w:t>In contrast, TLT’s MA30 demonstrates a persistent downward trend after 2021, reflecting rising interest rates and bond price pressure. The smooth decline in MA30 visually reinforces the long-term weakening of the bond market during this period.</w:t>
      </w:r>
    </w:p>
    <w:p w14:paraId="1B0A3D2C" w14:textId="77777777" w:rsidR="00896C91" w:rsidRPr="00896C91" w:rsidRDefault="00896C91" w:rsidP="00896C91">
      <w:pPr>
        <w:pStyle w:val="NormalWeb"/>
        <w:rPr>
          <w:color w:val="000000"/>
        </w:rPr>
      </w:pPr>
      <w:r>
        <w:rPr>
          <w:color w:val="000000"/>
        </w:rPr>
        <w:lastRenderedPageBreak/>
        <w:t xml:space="preserve">GLD’s MA30 shows moderate but steady upward movement with noticeable upward shifts during global </w:t>
      </w:r>
      <w:r w:rsidRPr="00896C91">
        <w:rPr>
          <w:color w:val="000000"/>
        </w:rPr>
        <w:t>uncertainty—most prominently in 2020 and again during 2022–2023. The MA30 confirms gold’s role as a safe-haven asset with cyclical surges aligned with macroeconomic stress.</w:t>
      </w:r>
    </w:p>
    <w:p w14:paraId="72D986D1" w14:textId="77777777" w:rsidR="00896C91" w:rsidRPr="00896C91" w:rsidRDefault="00896C91" w:rsidP="00896C91">
      <w:pPr>
        <w:pStyle w:val="NormalWeb"/>
        <w:rPr>
          <w:color w:val="000000"/>
        </w:rPr>
      </w:pPr>
      <w:r w:rsidRPr="00896C91">
        <w:rPr>
          <w:color w:val="000000"/>
        </w:rPr>
        <w:t>Overall, the MA30 analysis helps distinguish</w:t>
      </w:r>
      <w:r w:rsidRPr="00896C91">
        <w:rPr>
          <w:rStyle w:val="apple-converted-space"/>
          <w:rFonts w:eastAsiaTheme="majorEastAsia"/>
          <w:color w:val="000000"/>
        </w:rPr>
        <w:t> </w:t>
      </w:r>
      <w:r w:rsidRPr="00896C91">
        <w:rPr>
          <w:rStyle w:val="Gl"/>
          <w:rFonts w:eastAsiaTheme="majorEastAsia"/>
          <w:b w:val="0"/>
          <w:bCs w:val="0"/>
          <w:color w:val="000000"/>
        </w:rPr>
        <w:t>stable long-term trends</w:t>
      </w:r>
      <w:r w:rsidRPr="00896C91">
        <w:rPr>
          <w:rStyle w:val="apple-converted-space"/>
          <w:rFonts w:eastAsiaTheme="majorEastAsia"/>
          <w:b/>
          <w:bCs/>
          <w:color w:val="000000"/>
        </w:rPr>
        <w:t> </w:t>
      </w:r>
      <w:r w:rsidRPr="00896C91">
        <w:rPr>
          <w:color w:val="000000"/>
        </w:rPr>
        <w:t>from</w:t>
      </w:r>
      <w:r w:rsidRPr="00896C91">
        <w:rPr>
          <w:rStyle w:val="apple-converted-space"/>
          <w:rFonts w:eastAsiaTheme="majorEastAsia"/>
          <w:color w:val="000000"/>
        </w:rPr>
        <w:t> </w:t>
      </w:r>
      <w:r w:rsidRPr="00896C91">
        <w:rPr>
          <w:rStyle w:val="Gl"/>
          <w:rFonts w:eastAsiaTheme="majorEastAsia"/>
          <w:b w:val="0"/>
          <w:bCs w:val="0"/>
          <w:color w:val="000000"/>
        </w:rPr>
        <w:t>short-term</w:t>
      </w:r>
      <w:r w:rsidRPr="00896C91">
        <w:rPr>
          <w:rStyle w:val="Gl"/>
          <w:rFonts w:eastAsiaTheme="majorEastAsia"/>
          <w:color w:val="000000"/>
        </w:rPr>
        <w:t xml:space="preserve"> </w:t>
      </w:r>
      <w:r w:rsidRPr="00896C91">
        <w:rPr>
          <w:rStyle w:val="Gl"/>
          <w:rFonts w:eastAsiaTheme="majorEastAsia"/>
          <w:b w:val="0"/>
          <w:bCs w:val="0"/>
          <w:color w:val="000000"/>
        </w:rPr>
        <w:t>volatility</w:t>
      </w:r>
      <w:r w:rsidRPr="00896C91">
        <w:rPr>
          <w:b/>
          <w:bCs/>
          <w:color w:val="000000"/>
        </w:rPr>
        <w:t>,</w:t>
      </w:r>
      <w:r w:rsidRPr="00896C91">
        <w:rPr>
          <w:color w:val="000000"/>
        </w:rPr>
        <w:t xml:space="preserve"> offering useful insight for the robo-advisor’s risk-based portfolio recommendations. By smoothing price action, MA30 supports more reliable trend detection, which is valuable for both return forecasting and regime identification.</w:t>
      </w:r>
    </w:p>
    <w:p w14:paraId="4D9502F9" w14:textId="77777777" w:rsidR="00896C91" w:rsidRPr="0036521B" w:rsidRDefault="00896C91" w:rsidP="00AF4D86">
      <w:pPr>
        <w:rPr>
          <w:rFonts w:ascii="Times New Roman" w:hAnsi="Times New Roman" w:cs="Times New Roman"/>
          <w:b/>
          <w:bCs/>
          <w:sz w:val="28"/>
          <w:szCs w:val="28"/>
        </w:rPr>
      </w:pPr>
    </w:p>
    <w:p w14:paraId="1F7A66D4" w14:textId="6900C7F3" w:rsidR="00391751" w:rsidRDefault="00391751" w:rsidP="00AF4D86">
      <w:pPr>
        <w:rPr>
          <w:rFonts w:ascii="Times New Roman" w:hAnsi="Times New Roman" w:cs="Times New Roman"/>
        </w:rPr>
      </w:pPr>
      <w:r>
        <w:rPr>
          <w:rFonts w:ascii="Times New Roman" w:hAnsi="Times New Roman" w:cs="Times New Roman"/>
        </w:rPr>
        <w:t>AAPL</w:t>
      </w:r>
    </w:p>
    <w:p w14:paraId="4C8A418F" w14:textId="234C7731" w:rsidR="00391751" w:rsidRDefault="00391751" w:rsidP="00AF4D86">
      <w:pPr>
        <w:rPr>
          <w:rFonts w:ascii="Times New Roman" w:hAnsi="Times New Roman" w:cs="Times New Roman"/>
        </w:rPr>
      </w:pPr>
      <w:r w:rsidRPr="00391751">
        <w:rPr>
          <w:rFonts w:ascii="Times New Roman" w:hAnsi="Times New Roman" w:cs="Times New Roman"/>
          <w:noProof/>
        </w:rPr>
        <w:drawing>
          <wp:inline distT="0" distB="0" distL="0" distR="0" wp14:anchorId="47855856" wp14:editId="16526FA0">
            <wp:extent cx="4343400" cy="2171700"/>
            <wp:effectExtent l="0" t="0" r="0" b="0"/>
            <wp:docPr id="286845320"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45320" name="Resim 1" descr="çizgi, öykü gelişim çizgisi; kumpas; grafiğini çıkarma, diyagram, eğim, bayır içeren bir resim&#10;&#10;Yapay zeka tarafından oluşturulmuş içerik yanlış olabilir."/>
                    <pic:cNvPicPr/>
                  </pic:nvPicPr>
                  <pic:blipFill>
                    <a:blip r:embed="rId13"/>
                    <a:stretch>
                      <a:fillRect/>
                    </a:stretch>
                  </pic:blipFill>
                  <pic:spPr>
                    <a:xfrm>
                      <a:off x="0" y="0"/>
                      <a:ext cx="4369926" cy="2184963"/>
                    </a:xfrm>
                    <a:prstGeom prst="rect">
                      <a:avLst/>
                    </a:prstGeom>
                  </pic:spPr>
                </pic:pic>
              </a:graphicData>
            </a:graphic>
          </wp:inline>
        </w:drawing>
      </w:r>
    </w:p>
    <w:p w14:paraId="63409093" w14:textId="77777777" w:rsidR="00795311" w:rsidRDefault="00795311" w:rsidP="00AF4D86">
      <w:pPr>
        <w:rPr>
          <w:rFonts w:ascii="Times New Roman" w:hAnsi="Times New Roman" w:cs="Times New Roman"/>
        </w:rPr>
      </w:pPr>
    </w:p>
    <w:p w14:paraId="4D9DE777" w14:textId="5D0EEDDC" w:rsidR="00391751" w:rsidRDefault="00391751" w:rsidP="00391751">
      <w:pPr>
        <w:rPr>
          <w:rFonts w:ascii="Times New Roman" w:hAnsi="Times New Roman" w:cs="Times New Roman"/>
        </w:rPr>
      </w:pPr>
      <w:r>
        <w:rPr>
          <w:rFonts w:ascii="Times New Roman" w:hAnsi="Times New Roman" w:cs="Times New Roman"/>
        </w:rPr>
        <w:t>MSFT</w:t>
      </w:r>
    </w:p>
    <w:p w14:paraId="4C43335B" w14:textId="39B14B2E" w:rsidR="00391751" w:rsidRDefault="00391751" w:rsidP="00391751">
      <w:pPr>
        <w:rPr>
          <w:rFonts w:ascii="Times New Roman" w:hAnsi="Times New Roman" w:cs="Times New Roman"/>
        </w:rPr>
      </w:pPr>
      <w:r w:rsidRPr="00391751">
        <w:rPr>
          <w:rFonts w:ascii="Times New Roman" w:hAnsi="Times New Roman" w:cs="Times New Roman"/>
          <w:noProof/>
        </w:rPr>
        <w:drawing>
          <wp:inline distT="0" distB="0" distL="0" distR="0" wp14:anchorId="619DFF59" wp14:editId="4E74408D">
            <wp:extent cx="4320540" cy="2160270"/>
            <wp:effectExtent l="0" t="0" r="0" b="0"/>
            <wp:docPr id="1372226016"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6016" name="Resim 1" descr="çizgi, öykü gelişim çizgisi; kumpas; grafiğini çıkarma, diyagram, eğim, bayır içeren bir resim&#10;&#10;Yapay zeka tarafından oluşturulmuş içerik yanlış olabilir."/>
                    <pic:cNvPicPr/>
                  </pic:nvPicPr>
                  <pic:blipFill>
                    <a:blip r:embed="rId14"/>
                    <a:stretch>
                      <a:fillRect/>
                    </a:stretch>
                  </pic:blipFill>
                  <pic:spPr>
                    <a:xfrm>
                      <a:off x="0" y="0"/>
                      <a:ext cx="4355144" cy="2177572"/>
                    </a:xfrm>
                    <a:prstGeom prst="rect">
                      <a:avLst/>
                    </a:prstGeom>
                  </pic:spPr>
                </pic:pic>
              </a:graphicData>
            </a:graphic>
          </wp:inline>
        </w:drawing>
      </w:r>
    </w:p>
    <w:p w14:paraId="19DCB506" w14:textId="77777777" w:rsidR="003D1FDC" w:rsidRDefault="003D1FDC" w:rsidP="00391751">
      <w:pPr>
        <w:tabs>
          <w:tab w:val="left" w:pos="1585"/>
        </w:tabs>
        <w:rPr>
          <w:rFonts w:ascii="Times New Roman" w:hAnsi="Times New Roman" w:cs="Times New Roman"/>
        </w:rPr>
      </w:pPr>
    </w:p>
    <w:p w14:paraId="3E16B7F2" w14:textId="77777777" w:rsidR="003D1FDC" w:rsidRDefault="003D1FDC" w:rsidP="00391751">
      <w:pPr>
        <w:tabs>
          <w:tab w:val="left" w:pos="1585"/>
        </w:tabs>
        <w:rPr>
          <w:rFonts w:ascii="Times New Roman" w:hAnsi="Times New Roman" w:cs="Times New Roman"/>
        </w:rPr>
      </w:pPr>
    </w:p>
    <w:p w14:paraId="5445B587" w14:textId="77777777" w:rsidR="003D1FDC" w:rsidRDefault="003D1FDC" w:rsidP="00391751">
      <w:pPr>
        <w:tabs>
          <w:tab w:val="left" w:pos="1585"/>
        </w:tabs>
        <w:rPr>
          <w:rFonts w:ascii="Times New Roman" w:hAnsi="Times New Roman" w:cs="Times New Roman"/>
        </w:rPr>
      </w:pPr>
    </w:p>
    <w:p w14:paraId="0A399FC7" w14:textId="77777777" w:rsidR="003D1FDC" w:rsidRDefault="003D1FDC" w:rsidP="00391751">
      <w:pPr>
        <w:tabs>
          <w:tab w:val="left" w:pos="1585"/>
        </w:tabs>
        <w:rPr>
          <w:rFonts w:ascii="Times New Roman" w:hAnsi="Times New Roman" w:cs="Times New Roman"/>
        </w:rPr>
      </w:pPr>
    </w:p>
    <w:p w14:paraId="621FF724" w14:textId="1151CD32" w:rsidR="00391751" w:rsidRDefault="00391751" w:rsidP="00391751">
      <w:pPr>
        <w:tabs>
          <w:tab w:val="left" w:pos="1585"/>
        </w:tabs>
        <w:rPr>
          <w:rFonts w:ascii="Times New Roman" w:hAnsi="Times New Roman" w:cs="Times New Roman"/>
        </w:rPr>
      </w:pPr>
      <w:r>
        <w:rPr>
          <w:rFonts w:ascii="Times New Roman" w:hAnsi="Times New Roman" w:cs="Times New Roman"/>
        </w:rPr>
        <w:lastRenderedPageBreak/>
        <w:t>SPY</w:t>
      </w:r>
    </w:p>
    <w:p w14:paraId="3FDCD85A" w14:textId="1097E59D" w:rsidR="00391751" w:rsidRDefault="00391751" w:rsidP="00391751">
      <w:pPr>
        <w:tabs>
          <w:tab w:val="left" w:pos="1585"/>
        </w:tabs>
        <w:rPr>
          <w:rFonts w:ascii="Times New Roman" w:hAnsi="Times New Roman" w:cs="Times New Roman"/>
        </w:rPr>
      </w:pPr>
      <w:r w:rsidRPr="00391751">
        <w:rPr>
          <w:rFonts w:ascii="Times New Roman" w:hAnsi="Times New Roman" w:cs="Times New Roman"/>
          <w:noProof/>
        </w:rPr>
        <w:drawing>
          <wp:inline distT="0" distB="0" distL="0" distR="0" wp14:anchorId="2E507422" wp14:editId="4E03AC14">
            <wp:extent cx="4320540" cy="2160270"/>
            <wp:effectExtent l="0" t="0" r="0" b="0"/>
            <wp:docPr id="1408824065"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4065" name="Resim 1" descr="çizgi, öykü gelişim çizgisi; kumpas; grafiğini çıkarma, diyagram, eğim, bayır içeren bir resim&#10;&#10;Yapay zeka tarafından oluşturulmuş içerik yanlış olabilir."/>
                    <pic:cNvPicPr/>
                  </pic:nvPicPr>
                  <pic:blipFill>
                    <a:blip r:embed="rId15"/>
                    <a:stretch>
                      <a:fillRect/>
                    </a:stretch>
                  </pic:blipFill>
                  <pic:spPr>
                    <a:xfrm>
                      <a:off x="0" y="0"/>
                      <a:ext cx="4354916" cy="2177458"/>
                    </a:xfrm>
                    <a:prstGeom prst="rect">
                      <a:avLst/>
                    </a:prstGeom>
                  </pic:spPr>
                </pic:pic>
              </a:graphicData>
            </a:graphic>
          </wp:inline>
        </w:drawing>
      </w:r>
    </w:p>
    <w:p w14:paraId="1513DD35" w14:textId="55C57950" w:rsidR="00795311" w:rsidRDefault="00795311" w:rsidP="00391751">
      <w:pPr>
        <w:tabs>
          <w:tab w:val="left" w:pos="1585"/>
        </w:tabs>
        <w:rPr>
          <w:rFonts w:ascii="Times New Roman" w:hAnsi="Times New Roman" w:cs="Times New Roman"/>
        </w:rPr>
      </w:pPr>
      <w:r>
        <w:rPr>
          <w:rFonts w:ascii="Times New Roman" w:hAnsi="Times New Roman" w:cs="Times New Roman"/>
        </w:rPr>
        <w:t>QQQ</w:t>
      </w:r>
    </w:p>
    <w:p w14:paraId="3E054ED4" w14:textId="1D1DECC8" w:rsidR="00795311" w:rsidRDefault="00795311" w:rsidP="00391751">
      <w:pPr>
        <w:rPr>
          <w:rFonts w:ascii="Times New Roman" w:hAnsi="Times New Roman" w:cs="Times New Roman"/>
        </w:rPr>
      </w:pPr>
      <w:r w:rsidRPr="0036521B">
        <w:rPr>
          <w:rFonts w:ascii="Times New Roman" w:hAnsi="Times New Roman" w:cs="Times New Roman"/>
          <w:noProof/>
        </w:rPr>
        <w:drawing>
          <wp:inline distT="0" distB="0" distL="0" distR="0" wp14:anchorId="15848A49" wp14:editId="1B711AB1">
            <wp:extent cx="4320540" cy="2160270"/>
            <wp:effectExtent l="0" t="0" r="0" b="0"/>
            <wp:docPr id="806940448"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448" name="Resim 1" descr="çizgi, öykü gelişim çizgisi; kumpas; grafiğini çıkarma, diyagram, eğim, bayır içeren bir resim&#10;&#10;Yapay zeka tarafından oluşturulmuş içerik yanlış olabilir."/>
                    <pic:cNvPicPr/>
                  </pic:nvPicPr>
                  <pic:blipFill>
                    <a:blip r:embed="rId16"/>
                    <a:stretch>
                      <a:fillRect/>
                    </a:stretch>
                  </pic:blipFill>
                  <pic:spPr>
                    <a:xfrm>
                      <a:off x="0" y="0"/>
                      <a:ext cx="4404858" cy="2202429"/>
                    </a:xfrm>
                    <a:prstGeom prst="rect">
                      <a:avLst/>
                    </a:prstGeom>
                  </pic:spPr>
                </pic:pic>
              </a:graphicData>
            </a:graphic>
          </wp:inline>
        </w:drawing>
      </w:r>
    </w:p>
    <w:p w14:paraId="38CD02BA" w14:textId="1A0931A7" w:rsidR="00391751" w:rsidRDefault="0036521B" w:rsidP="00391751">
      <w:pPr>
        <w:rPr>
          <w:rFonts w:ascii="Times New Roman" w:hAnsi="Times New Roman" w:cs="Times New Roman"/>
        </w:rPr>
      </w:pPr>
      <w:r>
        <w:rPr>
          <w:rFonts w:ascii="Times New Roman" w:hAnsi="Times New Roman" w:cs="Times New Roman"/>
        </w:rPr>
        <w:t>GLD</w:t>
      </w:r>
    </w:p>
    <w:p w14:paraId="076DEA34" w14:textId="37DA5EEC" w:rsidR="0036521B" w:rsidRDefault="0036521B" w:rsidP="00391751">
      <w:pPr>
        <w:rPr>
          <w:rFonts w:ascii="Times New Roman" w:hAnsi="Times New Roman" w:cs="Times New Roman"/>
        </w:rPr>
      </w:pPr>
      <w:r w:rsidRPr="0036521B">
        <w:rPr>
          <w:rFonts w:ascii="Times New Roman" w:hAnsi="Times New Roman" w:cs="Times New Roman"/>
          <w:noProof/>
        </w:rPr>
        <w:drawing>
          <wp:inline distT="0" distB="0" distL="0" distR="0" wp14:anchorId="4F784B11" wp14:editId="2C34F244">
            <wp:extent cx="4343400" cy="2171700"/>
            <wp:effectExtent l="0" t="0" r="0" b="0"/>
            <wp:docPr id="1673505376" name="Resim 1" descr="çizgi, öykü gelişim çizgisi; kumpas; grafiğini çıkarma,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05376" name="Resim 1" descr="çizgi, öykü gelişim çizgisi; kumpas; grafiğini çıkarma, diyagram, ekran görüntüsü içeren bir resim&#10;&#10;Yapay zeka tarafından oluşturulmuş içerik yanlış olabilir."/>
                    <pic:cNvPicPr/>
                  </pic:nvPicPr>
                  <pic:blipFill>
                    <a:blip r:embed="rId17"/>
                    <a:stretch>
                      <a:fillRect/>
                    </a:stretch>
                  </pic:blipFill>
                  <pic:spPr>
                    <a:xfrm>
                      <a:off x="0" y="0"/>
                      <a:ext cx="4403508" cy="2201754"/>
                    </a:xfrm>
                    <a:prstGeom prst="rect">
                      <a:avLst/>
                    </a:prstGeom>
                  </pic:spPr>
                </pic:pic>
              </a:graphicData>
            </a:graphic>
          </wp:inline>
        </w:drawing>
      </w:r>
    </w:p>
    <w:p w14:paraId="75303BED" w14:textId="27E5D97F" w:rsidR="00391751" w:rsidRDefault="0036521B" w:rsidP="00391751">
      <w:pPr>
        <w:tabs>
          <w:tab w:val="left" w:pos="5905"/>
        </w:tabs>
        <w:rPr>
          <w:rFonts w:ascii="Times New Roman" w:hAnsi="Times New Roman" w:cs="Times New Roman"/>
          <w:b/>
          <w:bCs/>
          <w:sz w:val="28"/>
          <w:szCs w:val="28"/>
        </w:rPr>
      </w:pPr>
      <w:r w:rsidRPr="0036521B">
        <w:rPr>
          <w:rFonts w:ascii="Times New Roman" w:hAnsi="Times New Roman" w:cs="Times New Roman"/>
          <w:b/>
          <w:bCs/>
          <w:sz w:val="28"/>
          <w:szCs w:val="28"/>
        </w:rPr>
        <w:t>Volume</w:t>
      </w:r>
    </w:p>
    <w:p w14:paraId="22D61632" w14:textId="77777777" w:rsidR="00795311" w:rsidRDefault="00795311" w:rsidP="00795311">
      <w:pPr>
        <w:pStyle w:val="NormalWeb"/>
        <w:rPr>
          <w:color w:val="000000"/>
        </w:rPr>
      </w:pPr>
      <w:r>
        <w:rPr>
          <w:color w:val="000000"/>
        </w:rPr>
        <w:t xml:space="preserve">The trading volume patterns across all assets reflect how investor attention, market stress, and macroeconomic conditions evolved over the last decade. Equity assets such as AAPL, MSFT, SPY, and QQQ show very high and volatile trading activity between 2015 and 2018, with </w:t>
      </w:r>
      <w:r>
        <w:rPr>
          <w:color w:val="000000"/>
        </w:rPr>
        <w:lastRenderedPageBreak/>
        <w:t>multiple sharp spikes associated with earnings cycles, product announcements, and broader market events. Following the COVID-19 shock in 2020, all four equities experience another wave of extreme volume surges, indicating intensified investor reactions during periods of uncertainty. After 2021, however, volumes gradually stabilize and decline, suggesting a shift toward more mature, less speculative trading behavior in large-cap technology names.</w:t>
      </w:r>
    </w:p>
    <w:p w14:paraId="0A1E52EF" w14:textId="77777777" w:rsidR="00795311" w:rsidRDefault="00795311" w:rsidP="00795311">
      <w:pPr>
        <w:pStyle w:val="NormalWeb"/>
        <w:rPr>
          <w:color w:val="000000"/>
        </w:rPr>
      </w:pPr>
      <w:r>
        <w:rPr>
          <w:color w:val="000000"/>
        </w:rPr>
        <w:t>TLT exhibits a different structure: its most significant volume increases occur after 2021, during the rapid rise in interest rates. These spikes reflect heightened investor repositioning within the bond market as long-term Treasury prices fell sharply. GLD, meanwhile, maintains moderate day-to-day volume but shows clear spikes during global stress periods such as the 2020 pandemic and the inflation-driven environment in 2022–2023, reinforcing gold’s reputation as a defensive asset that attracts flows during uncertainty.</w:t>
      </w:r>
    </w:p>
    <w:p w14:paraId="48605B56" w14:textId="77777777" w:rsidR="00795311" w:rsidRDefault="00795311" w:rsidP="00795311">
      <w:pPr>
        <w:pStyle w:val="NormalWeb"/>
        <w:rPr>
          <w:color w:val="000000"/>
        </w:rPr>
      </w:pPr>
      <w:r>
        <w:rPr>
          <w:color w:val="000000"/>
        </w:rPr>
        <w:t>Taken together, the volume analysis reveals important differences in how these assets respond to market events. Equities experience broad market-driven cycles of intense trading, bonds react primarily to monetary policy shifts, and gold attracts attention during risk-off phases. This overall pattern helps the robo-advisor interpret liquidity conditions and understand when price movements are accompanied by strong market participation, which is valuable for assessing trend reliability and investor sentiment.</w:t>
      </w:r>
    </w:p>
    <w:p w14:paraId="79A61A4F" w14:textId="0BED0F4B" w:rsidR="0036521B" w:rsidRDefault="0036521B" w:rsidP="00391751">
      <w:pPr>
        <w:tabs>
          <w:tab w:val="left" w:pos="5905"/>
        </w:tabs>
        <w:rPr>
          <w:rFonts w:ascii="Times New Roman" w:hAnsi="Times New Roman" w:cs="Times New Roman"/>
        </w:rPr>
      </w:pPr>
      <w:r>
        <w:rPr>
          <w:rFonts w:ascii="Times New Roman" w:hAnsi="Times New Roman" w:cs="Times New Roman"/>
        </w:rPr>
        <w:t>AAPL</w:t>
      </w:r>
    </w:p>
    <w:p w14:paraId="37EE3714" w14:textId="36803010" w:rsidR="0036521B"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6EC0A54F" wp14:editId="2CCF09CD">
            <wp:extent cx="4251960" cy="2125980"/>
            <wp:effectExtent l="0" t="0" r="2540" b="0"/>
            <wp:docPr id="2027385104"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5104" name="Resim 1" descr="çizgi, öykü gelişim çizgisi; kumpas; grafiğini çıkarma, ekran görüntüsü, yazı tipi içeren bir resim&#10;&#10;Yapay zeka tarafından oluşturulmuş içerik yanlış olabilir."/>
                    <pic:cNvPicPr/>
                  </pic:nvPicPr>
                  <pic:blipFill>
                    <a:blip r:embed="rId18"/>
                    <a:stretch>
                      <a:fillRect/>
                    </a:stretch>
                  </pic:blipFill>
                  <pic:spPr>
                    <a:xfrm>
                      <a:off x="0" y="0"/>
                      <a:ext cx="4284792" cy="2142396"/>
                    </a:xfrm>
                    <a:prstGeom prst="rect">
                      <a:avLst/>
                    </a:prstGeom>
                  </pic:spPr>
                </pic:pic>
              </a:graphicData>
            </a:graphic>
          </wp:inline>
        </w:drawing>
      </w:r>
    </w:p>
    <w:p w14:paraId="11EB0AAD" w14:textId="74386919" w:rsidR="0036521B" w:rsidRDefault="0036521B" w:rsidP="00391751">
      <w:pPr>
        <w:tabs>
          <w:tab w:val="left" w:pos="5905"/>
        </w:tabs>
        <w:rPr>
          <w:rFonts w:ascii="Times New Roman" w:hAnsi="Times New Roman" w:cs="Times New Roman"/>
        </w:rPr>
      </w:pPr>
      <w:r>
        <w:rPr>
          <w:rFonts w:ascii="Times New Roman" w:hAnsi="Times New Roman" w:cs="Times New Roman"/>
        </w:rPr>
        <w:t>MSFT</w:t>
      </w:r>
    </w:p>
    <w:p w14:paraId="46B5E58A" w14:textId="77777777" w:rsidR="00795311"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6E0D33BE" wp14:editId="09EFF045">
            <wp:extent cx="4251960" cy="2125981"/>
            <wp:effectExtent l="0" t="0" r="2540" b="0"/>
            <wp:docPr id="35354262"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4262" name="Resim 1" descr="çizgi, öykü gelişim çizgisi; kumpas; grafiğini çıkarma, ekran görüntüsü, yazı tipi içeren bir resim&#10;&#10;Yapay zeka tarafından oluşturulmuş içerik yanlış olabilir."/>
                    <pic:cNvPicPr/>
                  </pic:nvPicPr>
                  <pic:blipFill>
                    <a:blip r:embed="rId19"/>
                    <a:stretch>
                      <a:fillRect/>
                    </a:stretch>
                  </pic:blipFill>
                  <pic:spPr>
                    <a:xfrm>
                      <a:off x="0" y="0"/>
                      <a:ext cx="4278768" cy="2139385"/>
                    </a:xfrm>
                    <a:prstGeom prst="rect">
                      <a:avLst/>
                    </a:prstGeom>
                  </pic:spPr>
                </pic:pic>
              </a:graphicData>
            </a:graphic>
          </wp:inline>
        </w:drawing>
      </w:r>
    </w:p>
    <w:p w14:paraId="18469169" w14:textId="77777777" w:rsidR="00795311" w:rsidRDefault="00795311" w:rsidP="00391751">
      <w:pPr>
        <w:tabs>
          <w:tab w:val="left" w:pos="5905"/>
        </w:tabs>
        <w:rPr>
          <w:rFonts w:ascii="Times New Roman" w:hAnsi="Times New Roman" w:cs="Times New Roman"/>
        </w:rPr>
      </w:pPr>
    </w:p>
    <w:p w14:paraId="7219DFB2" w14:textId="5265291F" w:rsidR="0036521B" w:rsidRDefault="0036521B" w:rsidP="00391751">
      <w:pPr>
        <w:tabs>
          <w:tab w:val="left" w:pos="5905"/>
        </w:tabs>
        <w:rPr>
          <w:rFonts w:ascii="Times New Roman" w:hAnsi="Times New Roman" w:cs="Times New Roman"/>
        </w:rPr>
      </w:pPr>
      <w:r>
        <w:rPr>
          <w:rFonts w:ascii="Times New Roman" w:hAnsi="Times New Roman" w:cs="Times New Roman"/>
        </w:rPr>
        <w:lastRenderedPageBreak/>
        <w:t>SPY</w:t>
      </w:r>
    </w:p>
    <w:p w14:paraId="63CEF60A" w14:textId="2F7BB82F" w:rsidR="00795311" w:rsidRDefault="00795311"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3855C1A2" wp14:editId="172E53D0">
            <wp:extent cx="4251960" cy="2125980"/>
            <wp:effectExtent l="0" t="0" r="2540" b="0"/>
            <wp:docPr id="1337664744"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64744" name="Resim 1" descr="çizgi, öykü gelişim çizgisi; kumpas; grafiğini çıkarma, ekran görüntüsü, yazı tipi içeren bir resim&#10;&#10;Yapay zeka tarafından oluşturulmuş içerik yanlış olabilir."/>
                    <pic:cNvPicPr/>
                  </pic:nvPicPr>
                  <pic:blipFill>
                    <a:blip r:embed="rId20"/>
                    <a:stretch>
                      <a:fillRect/>
                    </a:stretch>
                  </pic:blipFill>
                  <pic:spPr>
                    <a:xfrm>
                      <a:off x="0" y="0"/>
                      <a:ext cx="4286276" cy="2143138"/>
                    </a:xfrm>
                    <a:prstGeom prst="rect">
                      <a:avLst/>
                    </a:prstGeom>
                  </pic:spPr>
                </pic:pic>
              </a:graphicData>
            </a:graphic>
          </wp:inline>
        </w:drawing>
      </w:r>
    </w:p>
    <w:p w14:paraId="6E1C1737" w14:textId="7D83E391" w:rsidR="0036521B" w:rsidRDefault="0036521B" w:rsidP="00391751">
      <w:pPr>
        <w:tabs>
          <w:tab w:val="left" w:pos="5905"/>
        </w:tabs>
        <w:rPr>
          <w:rFonts w:ascii="Times New Roman" w:hAnsi="Times New Roman" w:cs="Times New Roman"/>
        </w:rPr>
      </w:pPr>
    </w:p>
    <w:p w14:paraId="77E6DC77" w14:textId="67520A88" w:rsidR="0036521B" w:rsidRDefault="0036521B" w:rsidP="00391751">
      <w:pPr>
        <w:tabs>
          <w:tab w:val="left" w:pos="5905"/>
        </w:tabs>
        <w:rPr>
          <w:rFonts w:ascii="Times New Roman" w:hAnsi="Times New Roman" w:cs="Times New Roman"/>
        </w:rPr>
      </w:pPr>
      <w:r>
        <w:rPr>
          <w:rFonts w:ascii="Times New Roman" w:hAnsi="Times New Roman" w:cs="Times New Roman"/>
        </w:rPr>
        <w:t>TLT</w:t>
      </w:r>
    </w:p>
    <w:p w14:paraId="1A92EB41" w14:textId="7FF20543" w:rsidR="0036521B"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02C0D494" wp14:editId="1C4E045A">
            <wp:extent cx="4320540" cy="2160270"/>
            <wp:effectExtent l="0" t="0" r="0" b="0"/>
            <wp:docPr id="1557148668" name="Resim 1" descr="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8668" name="Resim 1" descr="çizgi, öykü gelişim çizgisi; kumpas; grafiğini çıkarma, ekran görüntüsü içeren bir resim&#10;&#10;Yapay zeka tarafından oluşturulmuş içerik yanlış olabilir."/>
                    <pic:cNvPicPr/>
                  </pic:nvPicPr>
                  <pic:blipFill>
                    <a:blip r:embed="rId21"/>
                    <a:stretch>
                      <a:fillRect/>
                    </a:stretch>
                  </pic:blipFill>
                  <pic:spPr>
                    <a:xfrm>
                      <a:off x="0" y="0"/>
                      <a:ext cx="4362557" cy="2181279"/>
                    </a:xfrm>
                    <a:prstGeom prst="rect">
                      <a:avLst/>
                    </a:prstGeom>
                  </pic:spPr>
                </pic:pic>
              </a:graphicData>
            </a:graphic>
          </wp:inline>
        </w:drawing>
      </w:r>
    </w:p>
    <w:p w14:paraId="03CABFCC" w14:textId="4F0114BD" w:rsidR="0036521B" w:rsidRDefault="0036521B" w:rsidP="00391751">
      <w:pPr>
        <w:tabs>
          <w:tab w:val="left" w:pos="5905"/>
        </w:tabs>
        <w:rPr>
          <w:rFonts w:ascii="Times New Roman" w:hAnsi="Times New Roman" w:cs="Times New Roman"/>
        </w:rPr>
      </w:pPr>
      <w:r>
        <w:rPr>
          <w:rFonts w:ascii="Times New Roman" w:hAnsi="Times New Roman" w:cs="Times New Roman"/>
        </w:rPr>
        <w:t>GLD</w:t>
      </w:r>
    </w:p>
    <w:p w14:paraId="6081FDCE" w14:textId="75F2A425" w:rsidR="003679A3"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22B30569" wp14:editId="1BFB2F18">
            <wp:extent cx="4320540" cy="2160270"/>
            <wp:effectExtent l="0" t="0" r="0" b="0"/>
            <wp:docPr id="975692656" name="Resim 1" descr="çizgi, öykü gelişim çizgisi; kumpas; grafiğini çıkarma,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2656" name="Resim 1" descr="çizgi, öykü gelişim çizgisi; kumpas; grafiğini çıkarma, ekran görüntüsü, diyagram içeren bir resim&#10;&#10;Yapay zeka tarafından oluşturulmuş içerik yanlış olabilir."/>
                    <pic:cNvPicPr/>
                  </pic:nvPicPr>
                  <pic:blipFill>
                    <a:blip r:embed="rId22"/>
                    <a:stretch>
                      <a:fillRect/>
                    </a:stretch>
                  </pic:blipFill>
                  <pic:spPr>
                    <a:xfrm>
                      <a:off x="0" y="0"/>
                      <a:ext cx="4348060" cy="2174030"/>
                    </a:xfrm>
                    <a:prstGeom prst="rect">
                      <a:avLst/>
                    </a:prstGeom>
                  </pic:spPr>
                </pic:pic>
              </a:graphicData>
            </a:graphic>
          </wp:inline>
        </w:drawing>
      </w:r>
    </w:p>
    <w:p w14:paraId="37E6E23A" w14:textId="646963E6" w:rsidR="0036521B" w:rsidRDefault="0036521B" w:rsidP="00391751">
      <w:pPr>
        <w:tabs>
          <w:tab w:val="left" w:pos="5905"/>
        </w:tabs>
        <w:rPr>
          <w:rFonts w:ascii="Times New Roman" w:hAnsi="Times New Roman" w:cs="Times New Roman"/>
          <w:b/>
          <w:bCs/>
          <w:sz w:val="28"/>
          <w:szCs w:val="28"/>
        </w:rPr>
      </w:pPr>
      <w:r w:rsidRPr="0036521B">
        <w:rPr>
          <w:rFonts w:ascii="Times New Roman" w:hAnsi="Times New Roman" w:cs="Times New Roman"/>
          <w:b/>
          <w:bCs/>
          <w:sz w:val="28"/>
          <w:szCs w:val="28"/>
        </w:rPr>
        <w:t>Daily Return</w:t>
      </w:r>
    </w:p>
    <w:p w14:paraId="17F04DB1" w14:textId="77777777" w:rsidR="003679A3" w:rsidRDefault="003679A3" w:rsidP="003679A3">
      <w:pPr>
        <w:pStyle w:val="NormalWeb"/>
        <w:rPr>
          <w:color w:val="000000"/>
        </w:rPr>
      </w:pPr>
      <w:r>
        <w:rPr>
          <w:color w:val="000000"/>
        </w:rPr>
        <w:t xml:space="preserve">The daily return distributions provide a clear view of the short-term risk and volatility characteristics of each asset. Equity assets such as AAPL, MSFT, SPY, and QQQ display </w:t>
      </w:r>
      <w:r>
        <w:rPr>
          <w:color w:val="000000"/>
        </w:rPr>
        <w:lastRenderedPageBreak/>
        <w:t>bell-shaped distributions centered near 0%, with relatively wider spreads compared to bonds and gold. This indicates that equities experience more frequent and larger day-to-day price movements, consistent with their higher risk–higher return profile. Occasional extreme observations on both the positive and negative sides correspond to earnings surprises, macroeconomic announcements, and large market shocks—most notably the COVID-19 period, where volatility temporarily expanded across all equities.</w:t>
      </w:r>
    </w:p>
    <w:p w14:paraId="78E1485A" w14:textId="77777777" w:rsidR="003679A3" w:rsidRDefault="003679A3" w:rsidP="003679A3">
      <w:pPr>
        <w:pStyle w:val="NormalWeb"/>
        <w:rPr>
          <w:color w:val="000000"/>
        </w:rPr>
      </w:pPr>
      <w:r>
        <w:rPr>
          <w:color w:val="000000"/>
        </w:rPr>
        <w:t>TLT shows a distribution that is narrower but slightly skewed, reflecting the bond market’s sensitivity to interest rate changes. The presence of several larger negative daily returns after 2021 aligns with the rapid rise in interest rates that caused significant repricing of long-term Treasury bonds. GLD, in contrast, exhibits a tighter and more symmetric distribution with fewer extreme movements. This behavior is typical of gold, which tends to show lower short-term volatility and acts as a stabilizing component in diversified portfolios.</w:t>
      </w:r>
    </w:p>
    <w:p w14:paraId="75A1A8B7" w14:textId="77777777" w:rsidR="003679A3" w:rsidRDefault="003679A3" w:rsidP="003679A3">
      <w:pPr>
        <w:pStyle w:val="NormalWeb"/>
        <w:rPr>
          <w:color w:val="000000"/>
        </w:rPr>
      </w:pPr>
      <w:r>
        <w:rPr>
          <w:color w:val="000000"/>
        </w:rPr>
        <w:t>Overall, the return distributions highlight the clear distinction between high-volatility assets (equities), interest-rate-sensitive assets (TLT), and defensive assets (GLD). These patterns are important for understanding risk contributions within the portfolio and provide the robo-advisor with a quantitative basis for aligning asset weights with different investor risk profiles.</w:t>
      </w:r>
    </w:p>
    <w:p w14:paraId="5C5C03E9" w14:textId="77777777" w:rsidR="003679A3" w:rsidRDefault="0036521B" w:rsidP="00391751">
      <w:pPr>
        <w:tabs>
          <w:tab w:val="left" w:pos="5905"/>
        </w:tabs>
        <w:rPr>
          <w:rFonts w:ascii="Times New Roman" w:hAnsi="Times New Roman" w:cs="Times New Roman"/>
        </w:rPr>
      </w:pPr>
      <w:r>
        <w:rPr>
          <w:rFonts w:ascii="Times New Roman" w:hAnsi="Times New Roman" w:cs="Times New Roman"/>
        </w:rPr>
        <w:t>AAPL</w:t>
      </w:r>
    </w:p>
    <w:p w14:paraId="28EE68C9" w14:textId="3464AFFF" w:rsidR="003679A3"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2EBA0A73" wp14:editId="4D9E5063">
            <wp:extent cx="4457700" cy="2228851"/>
            <wp:effectExtent l="0" t="0" r="0" b="6350"/>
            <wp:docPr id="846901238" name="Resim 1" descr="diyagram,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1238" name="Resim 1" descr="diyagram, çizgi, öykü gelişim çizgisi; kumpas; grafiğini çıkarma, ekran görüntüsü içeren bir resim&#10;&#10;Yapay zeka tarafından oluşturulmuş içerik yanlış olabilir."/>
                    <pic:cNvPicPr/>
                  </pic:nvPicPr>
                  <pic:blipFill>
                    <a:blip r:embed="rId23"/>
                    <a:stretch>
                      <a:fillRect/>
                    </a:stretch>
                  </pic:blipFill>
                  <pic:spPr>
                    <a:xfrm>
                      <a:off x="0" y="0"/>
                      <a:ext cx="4594636" cy="2297319"/>
                    </a:xfrm>
                    <a:prstGeom prst="rect">
                      <a:avLst/>
                    </a:prstGeom>
                  </pic:spPr>
                </pic:pic>
              </a:graphicData>
            </a:graphic>
          </wp:inline>
        </w:drawing>
      </w:r>
    </w:p>
    <w:p w14:paraId="2B144DBA" w14:textId="65FCA90E" w:rsidR="0036521B" w:rsidRDefault="0036521B" w:rsidP="00391751">
      <w:pPr>
        <w:tabs>
          <w:tab w:val="left" w:pos="5905"/>
        </w:tabs>
        <w:rPr>
          <w:rFonts w:ascii="Times New Roman" w:hAnsi="Times New Roman" w:cs="Times New Roman"/>
        </w:rPr>
      </w:pPr>
      <w:r>
        <w:rPr>
          <w:rFonts w:ascii="Times New Roman" w:hAnsi="Times New Roman" w:cs="Times New Roman"/>
        </w:rPr>
        <w:t>MSFT</w:t>
      </w:r>
    </w:p>
    <w:p w14:paraId="0D904368" w14:textId="77777777" w:rsidR="003D1FDC"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3CE5F575" wp14:editId="60B3FBB7">
            <wp:extent cx="4457700" cy="2228850"/>
            <wp:effectExtent l="0" t="0" r="0" b="6350"/>
            <wp:docPr id="961189446"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9446" name="Resim 1" descr="diyagram, öykü gelişim çizgisi; kumpas; grafiğini çıkarma, çizgi, ekran görüntüsü içeren bir resim&#10;&#10;Yapay zeka tarafından oluşturulmuş içerik yanlış olabilir."/>
                    <pic:cNvPicPr/>
                  </pic:nvPicPr>
                  <pic:blipFill>
                    <a:blip r:embed="rId24"/>
                    <a:stretch>
                      <a:fillRect/>
                    </a:stretch>
                  </pic:blipFill>
                  <pic:spPr>
                    <a:xfrm>
                      <a:off x="0" y="0"/>
                      <a:ext cx="4496976" cy="2248488"/>
                    </a:xfrm>
                    <a:prstGeom prst="rect">
                      <a:avLst/>
                    </a:prstGeom>
                  </pic:spPr>
                </pic:pic>
              </a:graphicData>
            </a:graphic>
          </wp:inline>
        </w:drawing>
      </w:r>
    </w:p>
    <w:p w14:paraId="615766B1" w14:textId="7E90A17D" w:rsidR="0036521B" w:rsidRDefault="0036521B" w:rsidP="00391751">
      <w:pPr>
        <w:tabs>
          <w:tab w:val="left" w:pos="5905"/>
        </w:tabs>
        <w:rPr>
          <w:rFonts w:ascii="Times New Roman" w:hAnsi="Times New Roman" w:cs="Times New Roman"/>
        </w:rPr>
      </w:pPr>
      <w:r>
        <w:rPr>
          <w:rFonts w:ascii="Times New Roman" w:hAnsi="Times New Roman" w:cs="Times New Roman"/>
        </w:rPr>
        <w:lastRenderedPageBreak/>
        <w:t>SPY</w:t>
      </w:r>
    </w:p>
    <w:p w14:paraId="69745A17" w14:textId="3560013A" w:rsidR="0036521B"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3F1BD806" wp14:editId="58C129EC">
            <wp:extent cx="4389120" cy="2194560"/>
            <wp:effectExtent l="0" t="0" r="5080" b="2540"/>
            <wp:docPr id="2126177955" name="Resim 1" descr="diyagram,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7955" name="Resim 1" descr="diyagram, çizgi, öykü gelişim çizgisi; kumpas; grafiğini çıkarma, ekran görüntüsü içeren bir resim&#10;&#10;Yapay zeka tarafından oluşturulmuş içerik yanlış olabilir."/>
                    <pic:cNvPicPr/>
                  </pic:nvPicPr>
                  <pic:blipFill>
                    <a:blip r:embed="rId25"/>
                    <a:stretch>
                      <a:fillRect/>
                    </a:stretch>
                  </pic:blipFill>
                  <pic:spPr>
                    <a:xfrm>
                      <a:off x="0" y="0"/>
                      <a:ext cx="4417196" cy="2208598"/>
                    </a:xfrm>
                    <a:prstGeom prst="rect">
                      <a:avLst/>
                    </a:prstGeom>
                  </pic:spPr>
                </pic:pic>
              </a:graphicData>
            </a:graphic>
          </wp:inline>
        </w:drawing>
      </w:r>
    </w:p>
    <w:p w14:paraId="40AD552F" w14:textId="77777777" w:rsidR="003679A3" w:rsidRDefault="003679A3" w:rsidP="00391751">
      <w:pPr>
        <w:tabs>
          <w:tab w:val="left" w:pos="5905"/>
        </w:tabs>
        <w:rPr>
          <w:rFonts w:ascii="Times New Roman" w:hAnsi="Times New Roman" w:cs="Times New Roman"/>
        </w:rPr>
      </w:pPr>
    </w:p>
    <w:p w14:paraId="124AFA77" w14:textId="77777777" w:rsidR="003679A3" w:rsidRDefault="003679A3" w:rsidP="00391751">
      <w:pPr>
        <w:tabs>
          <w:tab w:val="left" w:pos="5905"/>
        </w:tabs>
        <w:rPr>
          <w:rFonts w:ascii="Times New Roman" w:hAnsi="Times New Roman" w:cs="Times New Roman"/>
        </w:rPr>
      </w:pPr>
    </w:p>
    <w:p w14:paraId="06BC7C59" w14:textId="54A9D486" w:rsidR="006E7EA0" w:rsidRDefault="006E7EA0" w:rsidP="00391751">
      <w:pPr>
        <w:tabs>
          <w:tab w:val="left" w:pos="5905"/>
        </w:tabs>
        <w:rPr>
          <w:rFonts w:ascii="Times New Roman" w:hAnsi="Times New Roman" w:cs="Times New Roman"/>
        </w:rPr>
      </w:pPr>
      <w:r>
        <w:rPr>
          <w:rFonts w:ascii="Times New Roman" w:hAnsi="Times New Roman" w:cs="Times New Roman"/>
        </w:rPr>
        <w:t>QQQ</w:t>
      </w:r>
    </w:p>
    <w:p w14:paraId="0419AB68" w14:textId="52F36F7E" w:rsidR="003679A3" w:rsidRDefault="006E7EA0" w:rsidP="00391751">
      <w:pPr>
        <w:tabs>
          <w:tab w:val="left" w:pos="5905"/>
        </w:tabs>
        <w:rPr>
          <w:rFonts w:ascii="Times New Roman" w:hAnsi="Times New Roman" w:cs="Times New Roman"/>
        </w:rPr>
      </w:pPr>
      <w:r w:rsidRPr="006E7EA0">
        <w:rPr>
          <w:rFonts w:ascii="Times New Roman" w:hAnsi="Times New Roman" w:cs="Times New Roman"/>
          <w:noProof/>
        </w:rPr>
        <w:drawing>
          <wp:inline distT="0" distB="0" distL="0" distR="0" wp14:anchorId="16B40165" wp14:editId="17382F8B">
            <wp:extent cx="4389120" cy="2194560"/>
            <wp:effectExtent l="0" t="0" r="5080" b="2540"/>
            <wp:docPr id="763016409"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16409" name="Resim 1" descr="diyagram, öykü gelişim çizgisi; kumpas; grafiğini çıkarma, çizgi, ekran görüntüsü içeren bir resim&#10;&#10;Yapay zeka tarafından oluşturulmuş içerik yanlış olabilir."/>
                    <pic:cNvPicPr/>
                  </pic:nvPicPr>
                  <pic:blipFill>
                    <a:blip r:embed="rId26"/>
                    <a:stretch>
                      <a:fillRect/>
                    </a:stretch>
                  </pic:blipFill>
                  <pic:spPr>
                    <a:xfrm>
                      <a:off x="0" y="0"/>
                      <a:ext cx="4389120" cy="2194560"/>
                    </a:xfrm>
                    <a:prstGeom prst="rect">
                      <a:avLst/>
                    </a:prstGeom>
                  </pic:spPr>
                </pic:pic>
              </a:graphicData>
            </a:graphic>
          </wp:inline>
        </w:drawing>
      </w:r>
    </w:p>
    <w:p w14:paraId="7297A6FE" w14:textId="09F5D2E1" w:rsidR="0036521B" w:rsidRDefault="0036521B" w:rsidP="00391751">
      <w:pPr>
        <w:tabs>
          <w:tab w:val="left" w:pos="5905"/>
        </w:tabs>
        <w:rPr>
          <w:rFonts w:ascii="Times New Roman" w:hAnsi="Times New Roman" w:cs="Times New Roman"/>
        </w:rPr>
      </w:pPr>
      <w:r>
        <w:rPr>
          <w:rFonts w:ascii="Times New Roman" w:hAnsi="Times New Roman" w:cs="Times New Roman"/>
        </w:rPr>
        <w:t>TLT</w:t>
      </w:r>
    </w:p>
    <w:p w14:paraId="4ED1F145" w14:textId="272ABFF7" w:rsidR="003679A3"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5A98AC4C" wp14:editId="0736AF1D">
            <wp:extent cx="4360986" cy="2180493"/>
            <wp:effectExtent l="0" t="0" r="0" b="4445"/>
            <wp:docPr id="1598385057"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5057" name="Resim 1" descr="diyagram, öykü gelişim çizgisi; kumpas; grafiğini çıkarma, çizgi, ekran görüntüsü içeren bir resim&#10;&#10;Yapay zeka tarafından oluşturulmuş içerik yanlış olabilir."/>
                    <pic:cNvPicPr/>
                  </pic:nvPicPr>
                  <pic:blipFill>
                    <a:blip r:embed="rId27"/>
                    <a:stretch>
                      <a:fillRect/>
                    </a:stretch>
                  </pic:blipFill>
                  <pic:spPr>
                    <a:xfrm>
                      <a:off x="0" y="0"/>
                      <a:ext cx="4397087" cy="2198543"/>
                    </a:xfrm>
                    <a:prstGeom prst="rect">
                      <a:avLst/>
                    </a:prstGeom>
                  </pic:spPr>
                </pic:pic>
              </a:graphicData>
            </a:graphic>
          </wp:inline>
        </w:drawing>
      </w:r>
    </w:p>
    <w:p w14:paraId="129922B9" w14:textId="77777777" w:rsidR="00BE1BCF" w:rsidRDefault="00BE1BCF" w:rsidP="00391751">
      <w:pPr>
        <w:tabs>
          <w:tab w:val="left" w:pos="5905"/>
        </w:tabs>
        <w:rPr>
          <w:rFonts w:ascii="Times New Roman" w:hAnsi="Times New Roman" w:cs="Times New Roman"/>
        </w:rPr>
      </w:pPr>
    </w:p>
    <w:p w14:paraId="2A0B9E37" w14:textId="57E8A1EF" w:rsidR="006E7EA0" w:rsidRDefault="006E7EA0" w:rsidP="00391751">
      <w:pPr>
        <w:tabs>
          <w:tab w:val="left" w:pos="5905"/>
        </w:tabs>
        <w:rPr>
          <w:rFonts w:ascii="Times New Roman" w:hAnsi="Times New Roman" w:cs="Times New Roman"/>
        </w:rPr>
      </w:pPr>
      <w:r>
        <w:rPr>
          <w:rFonts w:ascii="Times New Roman" w:hAnsi="Times New Roman" w:cs="Times New Roman"/>
        </w:rPr>
        <w:lastRenderedPageBreak/>
        <w:t>GLD</w:t>
      </w:r>
    </w:p>
    <w:p w14:paraId="2BC7A2C8" w14:textId="77777777" w:rsidR="003679A3" w:rsidRDefault="006E7EA0" w:rsidP="00391751">
      <w:pPr>
        <w:tabs>
          <w:tab w:val="left" w:pos="5905"/>
        </w:tabs>
        <w:rPr>
          <w:rFonts w:ascii="Times New Roman" w:hAnsi="Times New Roman" w:cs="Times New Roman"/>
        </w:rPr>
      </w:pPr>
      <w:r w:rsidRPr="006E7EA0">
        <w:rPr>
          <w:rFonts w:ascii="Times New Roman" w:hAnsi="Times New Roman" w:cs="Times New Roman"/>
          <w:noProof/>
        </w:rPr>
        <w:drawing>
          <wp:inline distT="0" distB="0" distL="0" distR="0" wp14:anchorId="1056F87D" wp14:editId="537F1024">
            <wp:extent cx="4487594" cy="2243797"/>
            <wp:effectExtent l="0" t="0" r="0" b="4445"/>
            <wp:docPr id="1907984879" name="Resim 1" descr="diyagram,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4879" name="Resim 1" descr="diyagram, öykü gelişim çizgisi; kumpas; grafiğini çıkarma, çizgi içeren bir resim&#10;&#10;Yapay zeka tarafından oluşturulmuş içerik yanlış olabilir."/>
                    <pic:cNvPicPr/>
                  </pic:nvPicPr>
                  <pic:blipFill>
                    <a:blip r:embed="rId28"/>
                    <a:stretch>
                      <a:fillRect/>
                    </a:stretch>
                  </pic:blipFill>
                  <pic:spPr>
                    <a:xfrm>
                      <a:off x="0" y="0"/>
                      <a:ext cx="4507659" cy="2253830"/>
                    </a:xfrm>
                    <a:prstGeom prst="rect">
                      <a:avLst/>
                    </a:prstGeom>
                  </pic:spPr>
                </pic:pic>
              </a:graphicData>
            </a:graphic>
          </wp:inline>
        </w:drawing>
      </w:r>
    </w:p>
    <w:p w14:paraId="48184371" w14:textId="7A5BB8A6" w:rsidR="0036521B" w:rsidRPr="00D26229" w:rsidRDefault="00A22587" w:rsidP="00391751">
      <w:pPr>
        <w:tabs>
          <w:tab w:val="left" w:pos="5905"/>
        </w:tabs>
        <w:rPr>
          <w:rFonts w:ascii="Times New Roman" w:hAnsi="Times New Roman" w:cs="Times New Roman"/>
          <w:b/>
          <w:bCs/>
          <w:sz w:val="28"/>
          <w:szCs w:val="28"/>
        </w:rPr>
      </w:pPr>
      <w:r w:rsidRPr="00D26229">
        <w:rPr>
          <w:rFonts w:ascii="Times New Roman" w:hAnsi="Times New Roman" w:cs="Times New Roman"/>
          <w:b/>
          <w:bCs/>
          <w:sz w:val="28"/>
          <w:szCs w:val="28"/>
        </w:rPr>
        <w:t>Corelation Heatmap</w:t>
      </w:r>
    </w:p>
    <w:p w14:paraId="46056404"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The return correlation matrix provides important insight into how different asset classes behave relative to each other, which is essential for constructing effective risk-managed portfolios. Overall, the heatmap reveals three distinct clusters: (1) highly correlated technology-driven equity assets (AAPL, MSFT, SPY, QQQ), (2) negatively correlated long-term government bonds (TLT), and (3) largely uncorrelated safe-haven assets such as gold (GLD).</w:t>
      </w:r>
    </w:p>
    <w:p w14:paraId="57DABF6C"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1. High Equity–Equity Correlation</w:t>
      </w:r>
    </w:p>
    <w:p w14:paraId="7DEE877E"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The strongest correlations appear among the four equity assets.</w:t>
      </w:r>
    </w:p>
    <w:p w14:paraId="42D0F73E" w14:textId="77777777" w:rsidR="00A773C1" w:rsidRPr="00A773C1" w:rsidRDefault="00A773C1" w:rsidP="00A773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AAPL–QQQ (0.81), MSFT–QQQ (0.86), and SPY–QQQ (0.93) reflect the close interconnectedness of large-cap growth stocks with the broader market and especially with the technology-heavy Nasdaq index.</w:t>
      </w:r>
    </w:p>
    <w:p w14:paraId="65A9D2C6" w14:textId="77777777" w:rsidR="00A773C1" w:rsidRPr="00A773C1" w:rsidRDefault="00A773C1" w:rsidP="00A773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AAPL–MSFT (0.68) and AAPL–SPY (0.75) also show consistently strong positive relationships, indicating that large U.S. tech companies tend to move in the same direction in response to macroeconomic conditions, corporate earnings cycles, and market sentiment.</w:t>
      </w:r>
    </w:p>
    <w:p w14:paraId="3F07DA2F"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This cluster behaves cohesively during both expansions and downturns, meaning that although these assets offer high growth potential, they provide limited diversification when combined with one another.</w:t>
      </w:r>
    </w:p>
    <w:p w14:paraId="2B4A1843"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2. Equity–Bond Negative Correlation</w:t>
      </w:r>
    </w:p>
    <w:p w14:paraId="54919E5A"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Long-term U.S. Treasury bonds (TLT) are negatively correlated with equity assets:</w:t>
      </w:r>
    </w:p>
    <w:p w14:paraId="7174BEA1" w14:textId="77777777" w:rsidR="00A773C1" w:rsidRPr="00A773C1"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SPY–TLT: –0.21</w:t>
      </w:r>
    </w:p>
    <w:p w14:paraId="26C221D2" w14:textId="77777777" w:rsidR="00A773C1" w:rsidRPr="00A773C1"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AAPL–TLT: –0.13</w:t>
      </w:r>
    </w:p>
    <w:p w14:paraId="00984E62" w14:textId="77777777" w:rsidR="00A773C1" w:rsidRPr="00A773C1"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QQQ–TLT: –0.15</w:t>
      </w:r>
    </w:p>
    <w:p w14:paraId="6E03B7F3"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lastRenderedPageBreak/>
        <w:t>These negative correlations represent the classic “flight-to-safety” behavior: equity markets tend to fall during periods of economic fear, while long-maturity bonds typically rise as investors seek safe, interest-bearing assets. Although the magnitude is moderate rather than strong, the relationship is sufficiently negative to make TLT a valuable diversifier in a robo-advisor portfolio.</w:t>
      </w:r>
    </w:p>
    <w:p w14:paraId="1FB4E7E1"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3. Gold as a Low-Correlation Diversifier</w:t>
      </w:r>
    </w:p>
    <w:p w14:paraId="7A3078AE"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Gold (GLD) shows near-zero correlation with all major equity indices:</w:t>
      </w:r>
    </w:p>
    <w:p w14:paraId="3092922A"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GLD–AAPL: 0.03</w:t>
      </w:r>
    </w:p>
    <w:p w14:paraId="01FE1EC4"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GLD–MSFT: 0.03</w:t>
      </w:r>
    </w:p>
    <w:p w14:paraId="0CEEFFF3"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GLD–SPY: 0.05</w:t>
      </w:r>
    </w:p>
    <w:p w14:paraId="47DDD057"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GLD–QQQ: 0.06</w:t>
      </w:r>
    </w:p>
    <w:p w14:paraId="238E79E2"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and a modest positive correlation with long-term bonds:</w:t>
      </w:r>
    </w:p>
    <w:p w14:paraId="2BE686F4" w14:textId="77777777" w:rsidR="00A773C1" w:rsidRPr="00A773C1" w:rsidRDefault="00A773C1" w:rsidP="00A773C1">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GLD–TLT: 0.31</w:t>
      </w:r>
    </w:p>
    <w:p w14:paraId="45D40CCA"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This behavior is consistent with gold’s role as a long-term hedge against macroeconomic uncertainty, inflation, and systemic risk. Because gold moves independently of equities, it significantly improves diversification efficiency even with a relatively small allocation.</w:t>
      </w:r>
    </w:p>
    <w:p w14:paraId="72FB8C87"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Overall Interpretation for Portfolio Construction</w:t>
      </w:r>
    </w:p>
    <w:p w14:paraId="374B0D81"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The heatmap confirms the expected market dynamics:</w:t>
      </w:r>
    </w:p>
    <w:p w14:paraId="5551EE72" w14:textId="77777777" w:rsidR="00A773C1" w:rsidRPr="00A773C1"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Equities move together → high growth, but high co-movement risk.</w:t>
      </w:r>
    </w:p>
    <w:p w14:paraId="43356A6C" w14:textId="77777777" w:rsidR="00A773C1" w:rsidRPr="00A773C1"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Bonds move opposite of equities → strong stabilizer during downturns.</w:t>
      </w:r>
    </w:p>
    <w:p w14:paraId="7340975C" w14:textId="77777777" w:rsidR="00A773C1"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Gold moves independently → hedge against inflation, volatility, and tail-risk events.</w:t>
      </w:r>
    </w:p>
    <w:p w14:paraId="4E97E623"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0FFB945E"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For a robo-advisor system, this structure is essential because it allows the model to:</w:t>
      </w:r>
    </w:p>
    <w:p w14:paraId="41779BDC" w14:textId="77777777" w:rsidR="00A773C1" w:rsidRPr="00A773C1"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reduce portfolio volatility by mixing negatively correlated assets,</w:t>
      </w:r>
    </w:p>
    <w:p w14:paraId="24A32C3A" w14:textId="77777777" w:rsidR="00A773C1" w:rsidRPr="00A773C1"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maintain growth potential through highly correlated equity components, and</w:t>
      </w:r>
    </w:p>
    <w:p w14:paraId="22E476BA" w14:textId="77777777" w:rsidR="00A773C1" w:rsidRPr="00A773C1"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improve long-term resilience with low-correlation hedges such as gold.</w:t>
      </w:r>
    </w:p>
    <w:p w14:paraId="31AB8641"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This correlation pattern creates a strong foundation for building risk-based portfolios that respond effectively to changes in market regimes.</w:t>
      </w:r>
    </w:p>
    <w:p w14:paraId="1697A05C" w14:textId="77777777" w:rsidR="003679A3" w:rsidRDefault="003679A3" w:rsidP="00391751">
      <w:pPr>
        <w:tabs>
          <w:tab w:val="left" w:pos="5905"/>
        </w:tabs>
        <w:rPr>
          <w:rFonts w:ascii="Times New Roman" w:hAnsi="Times New Roman" w:cs="Times New Roman"/>
        </w:rPr>
      </w:pPr>
    </w:p>
    <w:p w14:paraId="07FD5D04" w14:textId="4D7B5DB9" w:rsidR="00A22587" w:rsidRPr="0036521B" w:rsidRDefault="00A773C1" w:rsidP="00391751">
      <w:pPr>
        <w:tabs>
          <w:tab w:val="left" w:pos="5905"/>
        </w:tabs>
        <w:rPr>
          <w:rFonts w:ascii="Times New Roman" w:hAnsi="Times New Roman" w:cs="Times New Roman"/>
        </w:rPr>
      </w:pPr>
      <w:r>
        <w:rPr>
          <w:rFonts w:ascii="Times New Roman" w:hAnsi="Times New Roman" w:cs="Times New Roman"/>
          <w:noProof/>
        </w:rPr>
        <w:lastRenderedPageBreak/>
        <w:drawing>
          <wp:inline distT="0" distB="0" distL="0" distR="0" wp14:anchorId="10C763D8" wp14:editId="53382A62">
            <wp:extent cx="5760720" cy="4608830"/>
            <wp:effectExtent l="0" t="0" r="5080" b="1270"/>
            <wp:docPr id="246155094" name="Resim 2" descr="ekran görüntüsü, metin, kar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5094" name="Resim 2" descr="ekran görüntüsü, metin, kare, dikdörtgen içeren bir resim&#10;&#10;Yapay zeka tarafından oluşturulmuş içerik yanlış olabilir."/>
                    <pic:cNvPicPr/>
                  </pic:nvPicPr>
                  <pic:blipFill>
                    <a:blip r:embed="rId29">
                      <a:extLst>
                        <a:ext uri="{28A0092B-C50C-407E-A947-70E740481C1C}">
                          <a14:useLocalDpi xmlns:a14="http://schemas.microsoft.com/office/drawing/2010/main" val="0"/>
                        </a:ext>
                      </a:extLst>
                    </a:blip>
                    <a:stretch>
                      <a:fillRect/>
                    </a:stretch>
                  </pic:blipFill>
                  <pic:spPr>
                    <a:xfrm>
                      <a:off x="0" y="0"/>
                      <a:ext cx="5760720" cy="4608830"/>
                    </a:xfrm>
                    <a:prstGeom prst="rect">
                      <a:avLst/>
                    </a:prstGeom>
                  </pic:spPr>
                </pic:pic>
              </a:graphicData>
            </a:graphic>
          </wp:inline>
        </w:drawing>
      </w:r>
    </w:p>
    <w:sectPr w:rsidR="00A22587" w:rsidRPr="0036521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CA70E" w14:textId="77777777" w:rsidR="003A1A7F" w:rsidRDefault="003A1A7F" w:rsidP="00452CFE">
      <w:pPr>
        <w:spacing w:after="0" w:line="240" w:lineRule="auto"/>
      </w:pPr>
      <w:r>
        <w:separator/>
      </w:r>
    </w:p>
  </w:endnote>
  <w:endnote w:type="continuationSeparator" w:id="0">
    <w:p w14:paraId="5F683325" w14:textId="77777777" w:rsidR="003A1A7F" w:rsidRDefault="003A1A7F" w:rsidP="00452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F4788" w14:textId="77777777" w:rsidR="003A1A7F" w:rsidRDefault="003A1A7F" w:rsidP="00452CFE">
      <w:pPr>
        <w:spacing w:after="0" w:line="240" w:lineRule="auto"/>
      </w:pPr>
      <w:r>
        <w:separator/>
      </w:r>
    </w:p>
  </w:footnote>
  <w:footnote w:type="continuationSeparator" w:id="0">
    <w:p w14:paraId="214AA247" w14:textId="77777777" w:rsidR="003A1A7F" w:rsidRDefault="003A1A7F" w:rsidP="00452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80F"/>
    <w:multiLevelType w:val="multilevel"/>
    <w:tmpl w:val="01D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D2060"/>
    <w:multiLevelType w:val="multilevel"/>
    <w:tmpl w:val="5FC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60E9B"/>
    <w:multiLevelType w:val="multilevel"/>
    <w:tmpl w:val="174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94D10"/>
    <w:multiLevelType w:val="multilevel"/>
    <w:tmpl w:val="356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A759B"/>
    <w:multiLevelType w:val="multilevel"/>
    <w:tmpl w:val="15E8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169D9"/>
    <w:multiLevelType w:val="multilevel"/>
    <w:tmpl w:val="E6C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B66A5"/>
    <w:multiLevelType w:val="multilevel"/>
    <w:tmpl w:val="3D10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D4CAF"/>
    <w:multiLevelType w:val="multilevel"/>
    <w:tmpl w:val="29D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2259C"/>
    <w:multiLevelType w:val="multilevel"/>
    <w:tmpl w:val="29C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05F07"/>
    <w:multiLevelType w:val="multilevel"/>
    <w:tmpl w:val="BAB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3470B"/>
    <w:multiLevelType w:val="multilevel"/>
    <w:tmpl w:val="4CD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B4267"/>
    <w:multiLevelType w:val="multilevel"/>
    <w:tmpl w:val="5A7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119F4"/>
    <w:multiLevelType w:val="multilevel"/>
    <w:tmpl w:val="D23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C5D79"/>
    <w:multiLevelType w:val="multilevel"/>
    <w:tmpl w:val="7DF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D6C49"/>
    <w:multiLevelType w:val="multilevel"/>
    <w:tmpl w:val="F10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43B75"/>
    <w:multiLevelType w:val="multilevel"/>
    <w:tmpl w:val="541A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4702B2"/>
    <w:multiLevelType w:val="multilevel"/>
    <w:tmpl w:val="3AC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F77B7"/>
    <w:multiLevelType w:val="multilevel"/>
    <w:tmpl w:val="069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A13C2"/>
    <w:multiLevelType w:val="multilevel"/>
    <w:tmpl w:val="4B6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160571">
    <w:abstractNumId w:val="13"/>
  </w:num>
  <w:num w:numId="2" w16cid:durableId="325935325">
    <w:abstractNumId w:val="0"/>
  </w:num>
  <w:num w:numId="3" w16cid:durableId="744769158">
    <w:abstractNumId w:val="2"/>
  </w:num>
  <w:num w:numId="4" w16cid:durableId="1801144935">
    <w:abstractNumId w:val="4"/>
  </w:num>
  <w:num w:numId="5" w16cid:durableId="1514219459">
    <w:abstractNumId w:val="15"/>
  </w:num>
  <w:num w:numId="6" w16cid:durableId="768281043">
    <w:abstractNumId w:val="17"/>
  </w:num>
  <w:num w:numId="7" w16cid:durableId="1165625720">
    <w:abstractNumId w:val="5"/>
  </w:num>
  <w:num w:numId="8" w16cid:durableId="1017544256">
    <w:abstractNumId w:val="18"/>
  </w:num>
  <w:num w:numId="9" w16cid:durableId="1468013631">
    <w:abstractNumId w:val="7"/>
  </w:num>
  <w:num w:numId="10" w16cid:durableId="2064985942">
    <w:abstractNumId w:val="11"/>
  </w:num>
  <w:num w:numId="11" w16cid:durableId="1704939516">
    <w:abstractNumId w:val="3"/>
  </w:num>
  <w:num w:numId="12" w16cid:durableId="1532299262">
    <w:abstractNumId w:val="8"/>
  </w:num>
  <w:num w:numId="13" w16cid:durableId="1088766169">
    <w:abstractNumId w:val="14"/>
  </w:num>
  <w:num w:numId="14" w16cid:durableId="1875072312">
    <w:abstractNumId w:val="1"/>
  </w:num>
  <w:num w:numId="15" w16cid:durableId="629554244">
    <w:abstractNumId w:val="12"/>
  </w:num>
  <w:num w:numId="16" w16cid:durableId="1223907391">
    <w:abstractNumId w:val="9"/>
  </w:num>
  <w:num w:numId="17" w16cid:durableId="760106924">
    <w:abstractNumId w:val="6"/>
  </w:num>
  <w:num w:numId="18" w16cid:durableId="1255434312">
    <w:abstractNumId w:val="10"/>
  </w:num>
  <w:num w:numId="19" w16cid:durableId="1791436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86"/>
    <w:rsid w:val="002D74B8"/>
    <w:rsid w:val="0036521B"/>
    <w:rsid w:val="003679A3"/>
    <w:rsid w:val="00391751"/>
    <w:rsid w:val="003A1A7F"/>
    <w:rsid w:val="003B74CC"/>
    <w:rsid w:val="003D1FDC"/>
    <w:rsid w:val="003E555F"/>
    <w:rsid w:val="00406101"/>
    <w:rsid w:val="00452CFE"/>
    <w:rsid w:val="004A256F"/>
    <w:rsid w:val="005706EB"/>
    <w:rsid w:val="006E7EA0"/>
    <w:rsid w:val="00795311"/>
    <w:rsid w:val="00884927"/>
    <w:rsid w:val="00896C91"/>
    <w:rsid w:val="00A22587"/>
    <w:rsid w:val="00A773C1"/>
    <w:rsid w:val="00AF4D86"/>
    <w:rsid w:val="00BE1BCF"/>
    <w:rsid w:val="00D26229"/>
    <w:rsid w:val="00D56986"/>
    <w:rsid w:val="00DA469E"/>
    <w:rsid w:val="00E04B7C"/>
    <w:rsid w:val="00F01254"/>
    <w:rsid w:val="00F652D6"/>
    <w:rsid w:val="00F655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EAA2"/>
  <w15:chartTrackingRefBased/>
  <w15:docId w15:val="{2F2A9D3E-D016-FD42-A737-176610C8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F4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F4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F4D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AF4D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F4D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F4D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4D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4D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4D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4D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F4D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F4D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AF4D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F4D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F4D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4D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4D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4D86"/>
    <w:rPr>
      <w:rFonts w:eastAsiaTheme="majorEastAsia" w:cstheme="majorBidi"/>
      <w:color w:val="272727" w:themeColor="text1" w:themeTint="D8"/>
    </w:rPr>
  </w:style>
  <w:style w:type="paragraph" w:styleId="KonuBal">
    <w:name w:val="Title"/>
    <w:basedOn w:val="Normal"/>
    <w:next w:val="Normal"/>
    <w:link w:val="KonuBalChar"/>
    <w:uiPriority w:val="10"/>
    <w:qFormat/>
    <w:rsid w:val="00AF4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4D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4D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4D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4D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4D86"/>
    <w:rPr>
      <w:i/>
      <w:iCs/>
      <w:color w:val="404040" w:themeColor="text1" w:themeTint="BF"/>
    </w:rPr>
  </w:style>
  <w:style w:type="paragraph" w:styleId="ListeParagraf">
    <w:name w:val="List Paragraph"/>
    <w:basedOn w:val="Normal"/>
    <w:uiPriority w:val="34"/>
    <w:qFormat/>
    <w:rsid w:val="00AF4D86"/>
    <w:pPr>
      <w:ind w:left="720"/>
      <w:contextualSpacing/>
    </w:pPr>
  </w:style>
  <w:style w:type="character" w:styleId="GlVurgulama">
    <w:name w:val="Intense Emphasis"/>
    <w:basedOn w:val="VarsaylanParagrafYazTipi"/>
    <w:uiPriority w:val="21"/>
    <w:qFormat/>
    <w:rsid w:val="00AF4D86"/>
    <w:rPr>
      <w:i/>
      <w:iCs/>
      <w:color w:val="0F4761" w:themeColor="accent1" w:themeShade="BF"/>
    </w:rPr>
  </w:style>
  <w:style w:type="paragraph" w:styleId="GlAlnt">
    <w:name w:val="Intense Quote"/>
    <w:basedOn w:val="Normal"/>
    <w:next w:val="Normal"/>
    <w:link w:val="GlAlntChar"/>
    <w:uiPriority w:val="30"/>
    <w:qFormat/>
    <w:rsid w:val="00AF4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F4D86"/>
    <w:rPr>
      <w:i/>
      <w:iCs/>
      <w:color w:val="0F4761" w:themeColor="accent1" w:themeShade="BF"/>
    </w:rPr>
  </w:style>
  <w:style w:type="character" w:styleId="GlBavuru">
    <w:name w:val="Intense Reference"/>
    <w:basedOn w:val="VarsaylanParagrafYazTipi"/>
    <w:uiPriority w:val="32"/>
    <w:qFormat/>
    <w:rsid w:val="00AF4D86"/>
    <w:rPr>
      <w:b/>
      <w:bCs/>
      <w:smallCaps/>
      <w:color w:val="0F4761" w:themeColor="accent1" w:themeShade="BF"/>
      <w:spacing w:val="5"/>
    </w:rPr>
  </w:style>
  <w:style w:type="character" w:styleId="Gl">
    <w:name w:val="Strong"/>
    <w:basedOn w:val="VarsaylanParagrafYazTipi"/>
    <w:uiPriority w:val="22"/>
    <w:qFormat/>
    <w:rsid w:val="00AF4D86"/>
    <w:rPr>
      <w:b/>
      <w:bCs/>
    </w:rPr>
  </w:style>
  <w:style w:type="paragraph" w:styleId="NormalWeb">
    <w:name w:val="Normal (Web)"/>
    <w:basedOn w:val="Normal"/>
    <w:uiPriority w:val="99"/>
    <w:unhideWhenUsed/>
    <w:rsid w:val="00AF4D8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AF4D86"/>
  </w:style>
  <w:style w:type="character" w:styleId="HTMLKodu">
    <w:name w:val="HTML Code"/>
    <w:basedOn w:val="VarsaylanParagrafYazTipi"/>
    <w:uiPriority w:val="99"/>
    <w:semiHidden/>
    <w:unhideWhenUsed/>
    <w:rsid w:val="00AF4D86"/>
    <w:rPr>
      <w:rFonts w:ascii="Courier New" w:eastAsia="Times New Roman" w:hAnsi="Courier New" w:cs="Courier New"/>
      <w:sz w:val="20"/>
      <w:szCs w:val="20"/>
    </w:rPr>
  </w:style>
  <w:style w:type="paragraph" w:styleId="stBilgi">
    <w:name w:val="header"/>
    <w:basedOn w:val="Normal"/>
    <w:link w:val="stBilgiChar"/>
    <w:uiPriority w:val="99"/>
    <w:unhideWhenUsed/>
    <w:rsid w:val="00452CF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2CFE"/>
  </w:style>
  <w:style w:type="paragraph" w:styleId="AltBilgi">
    <w:name w:val="footer"/>
    <w:basedOn w:val="Normal"/>
    <w:link w:val="AltBilgiChar"/>
    <w:uiPriority w:val="99"/>
    <w:unhideWhenUsed/>
    <w:rsid w:val="00452CF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2CFE"/>
  </w:style>
  <w:style w:type="character" w:styleId="Vurgu">
    <w:name w:val="Emphasis"/>
    <w:basedOn w:val="VarsaylanParagrafYazTipi"/>
    <w:uiPriority w:val="20"/>
    <w:qFormat/>
    <w:rsid w:val="003D1F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14</Pages>
  <Words>1882</Words>
  <Characters>10732</Characters>
  <Application>Microsoft Office Word</Application>
  <DocSecurity>0</DocSecurity>
  <Lines>89</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Yiğit Kocatürk</dc:creator>
  <cp:keywords/>
  <dc:description/>
  <cp:lastModifiedBy>Onur Yiğit Kocatürk</cp:lastModifiedBy>
  <cp:revision>6</cp:revision>
  <dcterms:created xsi:type="dcterms:W3CDTF">2025-11-16T17:05:00Z</dcterms:created>
  <dcterms:modified xsi:type="dcterms:W3CDTF">2025-11-17T07:31:00Z</dcterms:modified>
</cp:coreProperties>
</file>