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5AAF6" w14:textId="77777777" w:rsidR="000C048A" w:rsidRDefault="000C048A" w:rsidP="000C048A">
      <w:pPr>
        <w:pStyle w:val="p1"/>
      </w:pPr>
      <w:r>
        <w:t>Aşağıdaki rapor, Akbank (BIST: AKBNK) hissesi hakkında son bir yıllık dönemi kapsayan finansal ve operasyonel gelişmeleri ele almaktadır. Raporda ayrıca, ihtiyaç hâlinde son 5 yıla uzanan kısa bir özet perspektifine de yer verilmektedir. Kullanıcı tarafından paylaşılan son iki çeyrek analizi (3Ç24 ve 4Ç24) dokümanları, KAP (Kamuyu Aydınlatma Platformu) üzerinde yer alan resmi duyurular ve genel sektörel veriler, bu değerlendirmeye temel teşkil etmiştir. Rapor yalnızca bilgilendirme amacıyla hazırlanmıştır ve yatırım danışmanlığı kapsamında değildir.</w:t>
      </w:r>
    </w:p>
    <w:p w14:paraId="18DC7EFA" w14:textId="77777777" w:rsidR="000C048A" w:rsidRDefault="000C048A" w:rsidP="000C048A">
      <w:pPr>
        <w:pStyle w:val="p1"/>
      </w:pPr>
      <w:r>
        <w:rPr>
          <w:b/>
          <w:bCs/>
        </w:rPr>
        <w:t>1. GİRİŞ</w:t>
      </w:r>
    </w:p>
    <w:p w14:paraId="5E000DF7" w14:textId="77777777" w:rsidR="000C048A" w:rsidRDefault="000C048A" w:rsidP="000C048A">
      <w:pPr>
        <w:pStyle w:val="p2"/>
      </w:pPr>
    </w:p>
    <w:p w14:paraId="4324B211" w14:textId="77777777" w:rsidR="000C048A" w:rsidRDefault="000C048A" w:rsidP="000C048A">
      <w:pPr>
        <w:pStyle w:val="p3"/>
      </w:pPr>
      <w:r>
        <w:t>Akbank, Türkiye’nin önde gelen özel bankalarından biri olarak geniş bir müşteri kitlesine sahiptir. Banka, perakende bankacılık hizmetlerinden kurumsal ve KOBİ kredilerine, yatırım bankacılığı ve varlık yönetimi hizmetlerine kadar geniş bir ürün yelpazesi sunmaktadır. Son bir yılda Türkiye’deki yüksek faiz ortamı, düzenleyici otoritenin aldığı çeşitli kararlar ve makroekonomik gelişmeler, Akbank başta olmak üzere tüm bankacılık sektörünü doğrudan etkilemiştir.</w:t>
      </w:r>
    </w:p>
    <w:p w14:paraId="71D0213F" w14:textId="77777777" w:rsidR="000C048A" w:rsidRDefault="000C048A" w:rsidP="000C048A">
      <w:pPr>
        <w:pStyle w:val="p4"/>
      </w:pPr>
      <w:r>
        <w:rPr>
          <w:rStyle w:val="s1"/>
          <w:rFonts w:eastAsiaTheme="majorEastAsia"/>
        </w:rPr>
        <w:t>•</w:t>
      </w:r>
      <w:r>
        <w:rPr>
          <w:rStyle w:val="apple-tab-span"/>
          <w:rFonts w:eastAsiaTheme="majorEastAsia"/>
        </w:rPr>
        <w:t xml:space="preserve"> </w:t>
      </w:r>
      <w:r>
        <w:rPr>
          <w:b/>
          <w:bCs/>
        </w:rPr>
        <w:t>Başlıca bilgi kaynağı:</w:t>
      </w:r>
      <w:r>
        <w:rPr>
          <w:rStyle w:val="s1"/>
          <w:rFonts w:eastAsiaTheme="majorEastAsia"/>
        </w:rPr>
        <w:t xml:space="preserve"> </w:t>
      </w:r>
      <w:hyperlink r:id="rId4" w:history="1">
        <w:r>
          <w:rPr>
            <w:rStyle w:val="Hyperlink"/>
            <w:rFonts w:eastAsiaTheme="majorEastAsia"/>
          </w:rPr>
          <w:t>KAP resmi sayfası</w:t>
        </w:r>
      </w:hyperlink>
    </w:p>
    <w:p w14:paraId="58985D61" w14:textId="77777777" w:rsidR="000C048A" w:rsidRDefault="000C048A" w:rsidP="000C048A">
      <w:pPr>
        <w:pStyle w:val="p4"/>
      </w:pPr>
      <w:r>
        <w:rPr>
          <w:rStyle w:val="s1"/>
          <w:rFonts w:eastAsiaTheme="majorEastAsia"/>
        </w:rPr>
        <w:t>•</w:t>
      </w:r>
      <w:r>
        <w:rPr>
          <w:rStyle w:val="apple-tab-span"/>
          <w:rFonts w:eastAsiaTheme="majorEastAsia"/>
        </w:rPr>
        <w:t xml:space="preserve"> </w:t>
      </w:r>
      <w:r>
        <w:rPr>
          <w:b/>
          <w:bCs/>
        </w:rPr>
        <w:t>Ek dokümanlar:</w:t>
      </w:r>
    </w:p>
    <w:p w14:paraId="684336DD" w14:textId="77777777" w:rsidR="000C048A" w:rsidRDefault="000C048A" w:rsidP="000C048A">
      <w:pPr>
        <w:pStyle w:val="p5"/>
      </w:pPr>
      <w:r>
        <w:t>•</w:t>
      </w:r>
      <w:r>
        <w:rPr>
          <w:rStyle w:val="apple-tab-span"/>
          <w:rFonts w:eastAsiaTheme="majorEastAsia"/>
        </w:rPr>
        <w:t xml:space="preserve"> </w:t>
      </w:r>
      <w:r>
        <w:t>3Ç24 Kar Analizi ( )</w:t>
      </w:r>
    </w:p>
    <w:p w14:paraId="759CBA50" w14:textId="77777777" w:rsidR="000C048A" w:rsidRDefault="000C048A" w:rsidP="000C048A">
      <w:pPr>
        <w:pStyle w:val="p5"/>
      </w:pPr>
      <w:r>
        <w:t>•</w:t>
      </w:r>
      <w:r>
        <w:rPr>
          <w:rStyle w:val="apple-tab-span"/>
          <w:rFonts w:eastAsiaTheme="majorEastAsia"/>
        </w:rPr>
        <w:t xml:space="preserve"> </w:t>
      </w:r>
      <w:r>
        <w:t>4Ç24 Kar Analizi ( )</w:t>
      </w:r>
    </w:p>
    <w:p w14:paraId="18A47CD6" w14:textId="77777777" w:rsidR="000C048A" w:rsidRDefault="000C048A" w:rsidP="000C048A">
      <w:pPr>
        <w:pStyle w:val="p2"/>
      </w:pPr>
    </w:p>
    <w:p w14:paraId="7955D543" w14:textId="77777777" w:rsidR="000C048A" w:rsidRDefault="000C048A" w:rsidP="000C048A">
      <w:pPr>
        <w:pStyle w:val="p3"/>
      </w:pPr>
      <w:r>
        <w:t>Bu rapor, talep doğrultusunda en az beş sayfa uzunluğunda hazırlanmıştır. Öncelikle son bir yıllık dönemdeki öne çıkan gelişmeler sunulacak, sonrasında yeterli görülmediği noktalarda son beş yıllık makro ve bankaya özgü trendlere değinilecektir.</w:t>
      </w:r>
    </w:p>
    <w:p w14:paraId="6CE35C08" w14:textId="77777777" w:rsidR="000C048A" w:rsidRDefault="000C048A" w:rsidP="000C048A">
      <w:pPr>
        <w:pStyle w:val="p1"/>
      </w:pPr>
      <w:r>
        <w:rPr>
          <w:b/>
          <w:bCs/>
        </w:rPr>
        <w:t>2. SON BİR YILLIK PERFORMANSIN GENEL DEĞERLENDİRMESİ</w:t>
      </w:r>
    </w:p>
    <w:p w14:paraId="694E7FF0" w14:textId="77777777" w:rsidR="000C048A" w:rsidRDefault="000C048A" w:rsidP="000C048A">
      <w:pPr>
        <w:pStyle w:val="p2"/>
      </w:pPr>
    </w:p>
    <w:p w14:paraId="038EFCB9" w14:textId="77777777" w:rsidR="000C048A" w:rsidRDefault="000C048A" w:rsidP="000C048A">
      <w:pPr>
        <w:pStyle w:val="p3"/>
      </w:pPr>
      <w:r>
        <w:rPr>
          <w:b/>
          <w:bCs/>
        </w:rPr>
        <w:t>2.1. Faiz Ortamı ve Net Faiz Marjı Üzerindeki Etkiler</w:t>
      </w:r>
    </w:p>
    <w:p w14:paraId="1F81F337" w14:textId="77777777" w:rsidR="000C048A" w:rsidRDefault="000C048A" w:rsidP="000C048A">
      <w:pPr>
        <w:pStyle w:val="p2"/>
      </w:pPr>
    </w:p>
    <w:p w14:paraId="575C4CB0" w14:textId="77777777" w:rsidR="000C048A" w:rsidRDefault="000C048A" w:rsidP="000C048A">
      <w:pPr>
        <w:pStyle w:val="p4"/>
      </w:pPr>
      <w:r>
        <w:t>Türkiye’de son bir yılda faizlerde yaşanan yükseliş, bankaların fonlama maliyetini artırmış ve net faiz marjları üzerinde baskı oluşturmuştur. Akbank da bu çerçevede:</w:t>
      </w:r>
    </w:p>
    <w:p w14:paraId="0AF6CF43" w14:textId="77777777" w:rsidR="000C048A" w:rsidRDefault="000C048A" w:rsidP="000C048A">
      <w:pPr>
        <w:pStyle w:val="p5"/>
      </w:pPr>
      <w:r>
        <w:rPr>
          <w:rStyle w:val="s1"/>
          <w:rFonts w:eastAsiaTheme="majorEastAsia"/>
        </w:rPr>
        <w:t>•</w:t>
      </w:r>
      <w:r>
        <w:rPr>
          <w:rStyle w:val="apple-tab-span"/>
          <w:rFonts w:eastAsiaTheme="majorEastAsia"/>
        </w:rPr>
        <w:t xml:space="preserve"> </w:t>
      </w:r>
      <w:r>
        <w:rPr>
          <w:b/>
          <w:bCs/>
        </w:rPr>
        <w:t>Swap Maliyetleri ve Repo Fonlama:</w:t>
      </w:r>
    </w:p>
    <w:p w14:paraId="3979F038" w14:textId="77777777" w:rsidR="000C048A" w:rsidRDefault="000C048A" w:rsidP="000C048A">
      <w:pPr>
        <w:pStyle w:val="p4"/>
      </w:pPr>
      <w:r>
        <w:lastRenderedPageBreak/>
        <w:t>3Ç24’te swap maliyetleri TL 3,8 milyara gerilemiş olsa da TCMB’nin yurtiçi swapları kısıtlamasının ardından repo maliyetlerinin yükseldiği ve fonlama maliyetlerini yukarı çektiği görülmüştür ( ). 4Ç24’te de swap maliyetleri yükselmeye devam etmiştir.</w:t>
      </w:r>
    </w:p>
    <w:p w14:paraId="160154A3" w14:textId="77777777" w:rsidR="000C048A" w:rsidRDefault="000C048A" w:rsidP="000C048A">
      <w:pPr>
        <w:pStyle w:val="p5"/>
      </w:pPr>
      <w:r>
        <w:rPr>
          <w:rStyle w:val="s1"/>
          <w:rFonts w:eastAsiaTheme="majorEastAsia"/>
        </w:rPr>
        <w:t>•</w:t>
      </w:r>
      <w:r>
        <w:rPr>
          <w:rStyle w:val="apple-tab-span"/>
          <w:rFonts w:eastAsiaTheme="majorEastAsia"/>
        </w:rPr>
        <w:t xml:space="preserve"> </w:t>
      </w:r>
      <w:r>
        <w:rPr>
          <w:b/>
          <w:bCs/>
        </w:rPr>
        <w:t>TÜFEX Gelirleri:</w:t>
      </w:r>
    </w:p>
    <w:p w14:paraId="4C189ED9" w14:textId="77777777" w:rsidR="000C048A" w:rsidRDefault="000C048A" w:rsidP="000C048A">
      <w:pPr>
        <w:pStyle w:val="p4"/>
      </w:pPr>
      <w:r>
        <w:t>TÜFE’ye endeksli menkul kıymet gelirleri bankanın net faiz marjına önemli katkı yapmıştır. 3Ç24’te TL 19,1 milyar ( ) düzeyinde olan TÜFEX gelirleri 4Ç24’te TL 17,9 milyara gerilemiştir ( ). Ancak marjın daha da fazla daralmasını engellemesi açısından önemlidir.</w:t>
      </w:r>
    </w:p>
    <w:p w14:paraId="6792B60F" w14:textId="77777777" w:rsidR="000C048A" w:rsidRDefault="000C048A" w:rsidP="000C048A">
      <w:pPr>
        <w:pStyle w:val="p2"/>
      </w:pPr>
    </w:p>
    <w:p w14:paraId="025F4561" w14:textId="77777777" w:rsidR="000C048A" w:rsidRDefault="000C048A" w:rsidP="000C048A">
      <w:pPr>
        <w:pStyle w:val="p6"/>
      </w:pPr>
      <w:r>
        <w:rPr>
          <w:b/>
          <w:bCs/>
        </w:rPr>
        <w:t>Marjların Gelişimi:</w:t>
      </w:r>
    </w:p>
    <w:p w14:paraId="1BF54B3E" w14:textId="77777777" w:rsidR="000C048A" w:rsidRDefault="000C048A" w:rsidP="000C048A">
      <w:pPr>
        <w:pStyle w:val="p7"/>
      </w:pPr>
      <w:r>
        <w:t>•</w:t>
      </w:r>
      <w:r>
        <w:rPr>
          <w:rStyle w:val="apple-tab-span"/>
          <w:rFonts w:eastAsiaTheme="majorEastAsia"/>
        </w:rPr>
        <w:t xml:space="preserve"> </w:t>
      </w:r>
      <w:r>
        <w:t>3Ç24’te swaplara göre düzeltilmiş marjın %1,8 seviyesine gerilediği, bunun bir önceki çeyreğe göre 20 baz puanlık bir düşüş olduğu görülmüştür ( ).</w:t>
      </w:r>
    </w:p>
    <w:p w14:paraId="2C545B6D" w14:textId="77777777" w:rsidR="000C048A" w:rsidRDefault="000C048A" w:rsidP="000C048A">
      <w:pPr>
        <w:pStyle w:val="p7"/>
      </w:pPr>
      <w:r>
        <w:t>•</w:t>
      </w:r>
      <w:r>
        <w:rPr>
          <w:rStyle w:val="apple-tab-span"/>
          <w:rFonts w:eastAsiaTheme="majorEastAsia"/>
        </w:rPr>
        <w:t xml:space="preserve"> </w:t>
      </w:r>
      <w:r>
        <w:t>4Ç24’te ise marj %2,25 düzeyine çıkmış ve çeyreksel bazda 70 baz puanlık bir iyileşme yaşanmıştır ( ). Ancak bu değer, sene ortasında belirlenen %3’lük marj hedefinin hayli altında kalmıştır.</w:t>
      </w:r>
    </w:p>
    <w:p w14:paraId="3B441D2B" w14:textId="77777777" w:rsidR="000C048A" w:rsidRDefault="000C048A" w:rsidP="000C048A">
      <w:pPr>
        <w:pStyle w:val="p2"/>
      </w:pPr>
    </w:p>
    <w:p w14:paraId="3F1FD9C8" w14:textId="77777777" w:rsidR="000C048A" w:rsidRDefault="000C048A" w:rsidP="000C048A">
      <w:pPr>
        <w:pStyle w:val="p3"/>
      </w:pPr>
      <w:r>
        <w:rPr>
          <w:b/>
          <w:bCs/>
        </w:rPr>
        <w:t>2.2. Net Kâr ve Karlılık Göstergeleri</w:t>
      </w:r>
    </w:p>
    <w:p w14:paraId="43F29B5B" w14:textId="77777777" w:rsidR="000C048A" w:rsidRDefault="000C048A" w:rsidP="000C048A">
      <w:pPr>
        <w:pStyle w:val="p7"/>
      </w:pPr>
      <w:r>
        <w:t>•</w:t>
      </w:r>
      <w:r>
        <w:rPr>
          <w:rStyle w:val="apple-tab-span"/>
          <w:rFonts w:eastAsiaTheme="majorEastAsia"/>
        </w:rPr>
        <w:t xml:space="preserve"> </w:t>
      </w:r>
      <w:r>
        <w:rPr>
          <w:rStyle w:val="s3"/>
          <w:b/>
          <w:bCs/>
        </w:rPr>
        <w:t>3Ç24 Net Kâr:</w:t>
      </w:r>
      <w:r>
        <w:t xml:space="preserve"> TL 9 milyar</w:t>
      </w:r>
    </w:p>
    <w:p w14:paraId="4D3ED9C2" w14:textId="77777777" w:rsidR="000C048A" w:rsidRDefault="000C048A" w:rsidP="000C048A">
      <w:pPr>
        <w:pStyle w:val="p8"/>
      </w:pPr>
      <w:r>
        <w:t>•</w:t>
      </w:r>
      <w:r>
        <w:rPr>
          <w:rStyle w:val="apple-tab-span"/>
          <w:rFonts w:eastAsiaTheme="majorEastAsia"/>
        </w:rPr>
        <w:t xml:space="preserve"> </w:t>
      </w:r>
      <w:r>
        <w:t>Piyasa beklentileriyle büyük ölçüde uyumludur. Yıllıklandırılmış özkaynak kârlılığı (ROE) %16 seviyesinde, önceki çeyreğin %20’lik oranına göre gerileme kaydetmiştir ( ).</w:t>
      </w:r>
    </w:p>
    <w:p w14:paraId="7F34D04C" w14:textId="77777777" w:rsidR="000C048A" w:rsidRDefault="000C048A" w:rsidP="000C048A">
      <w:pPr>
        <w:pStyle w:val="p7"/>
      </w:pPr>
      <w:r>
        <w:t>•</w:t>
      </w:r>
      <w:r>
        <w:rPr>
          <w:rStyle w:val="apple-tab-span"/>
          <w:rFonts w:eastAsiaTheme="majorEastAsia"/>
        </w:rPr>
        <w:t xml:space="preserve"> </w:t>
      </w:r>
      <w:r>
        <w:rPr>
          <w:rStyle w:val="s3"/>
          <w:b/>
          <w:bCs/>
        </w:rPr>
        <w:t>4Ç24 Net Kâr:</w:t>
      </w:r>
      <w:r>
        <w:t xml:space="preserve"> TL 9,2 milyar</w:t>
      </w:r>
    </w:p>
    <w:p w14:paraId="2827F83C" w14:textId="77777777" w:rsidR="000C048A" w:rsidRDefault="000C048A" w:rsidP="000C048A">
      <w:pPr>
        <w:pStyle w:val="p8"/>
      </w:pPr>
      <w:r>
        <w:t>•</w:t>
      </w:r>
      <w:r>
        <w:rPr>
          <w:rStyle w:val="apple-tab-span"/>
          <w:rFonts w:eastAsiaTheme="majorEastAsia"/>
        </w:rPr>
        <w:t xml:space="preserve"> </w:t>
      </w:r>
      <w:r>
        <w:t>Beklentiye paralel gelmiştir. Yıllıklandırılmış özkaynak kârlılığı %16 olarak gerçekleşmiştir. 2024 yılı tamamında ise kümülatif özkaynak kârlılığı %19 olarak açıklanmıştır ( ).</w:t>
      </w:r>
    </w:p>
    <w:p w14:paraId="206ADC9B" w14:textId="77777777" w:rsidR="000C048A" w:rsidRDefault="000C048A" w:rsidP="000C048A">
      <w:pPr>
        <w:pStyle w:val="p2"/>
      </w:pPr>
    </w:p>
    <w:p w14:paraId="3E9DF2BC" w14:textId="77777777" w:rsidR="000C048A" w:rsidRDefault="000C048A" w:rsidP="000C048A">
      <w:pPr>
        <w:pStyle w:val="p4"/>
      </w:pPr>
      <w:r>
        <w:t>Bu sonuçlar, bankanın yüksek faiz ortamı ve düzenlemeler nedeniyle yaşadığı zorlu koşullar altında dahi istikrarlı bir kâr elde edebildiğini göstermektedir. Ancak, %19’luk özkaynak kârlılığının sektördeki bazı büyük rakiplerin (örneğin %30 civarı ya da %20+ civarı ROE yakalayan bankalar) altında kaldığı da belirtilebilir.</w:t>
      </w:r>
    </w:p>
    <w:p w14:paraId="4C75FAA0" w14:textId="77777777" w:rsidR="000C048A" w:rsidRDefault="000C048A" w:rsidP="000C048A">
      <w:pPr>
        <w:pStyle w:val="p2"/>
      </w:pPr>
    </w:p>
    <w:p w14:paraId="651CAE47" w14:textId="77777777" w:rsidR="000C048A" w:rsidRDefault="000C048A" w:rsidP="000C048A">
      <w:pPr>
        <w:pStyle w:val="p3"/>
      </w:pPr>
      <w:r>
        <w:rPr>
          <w:b/>
          <w:bCs/>
        </w:rPr>
        <w:t>2.3. Ücret ve Komisyon Gelirleri</w:t>
      </w:r>
    </w:p>
    <w:p w14:paraId="1856D80D" w14:textId="77777777" w:rsidR="000C048A" w:rsidRDefault="000C048A" w:rsidP="000C048A">
      <w:pPr>
        <w:pStyle w:val="p7"/>
      </w:pPr>
      <w:r>
        <w:lastRenderedPageBreak/>
        <w:t>•</w:t>
      </w:r>
      <w:r>
        <w:rPr>
          <w:rStyle w:val="apple-tab-span"/>
          <w:rFonts w:eastAsiaTheme="majorEastAsia"/>
        </w:rPr>
        <w:t xml:space="preserve"> </w:t>
      </w:r>
      <w:r>
        <w:rPr>
          <w:rStyle w:val="s3"/>
          <w:b/>
          <w:bCs/>
        </w:rPr>
        <w:t>3Ç24:</w:t>
      </w:r>
      <w:r>
        <w:t xml:space="preserve"> Net ücret ve komisyon gelirleri yıllık bazda %136 artarak TL 18,6 milyar düzeyine ulaşmıştır ( ).</w:t>
      </w:r>
    </w:p>
    <w:p w14:paraId="56AB20AC" w14:textId="77777777" w:rsidR="000C048A" w:rsidRDefault="000C048A" w:rsidP="000C048A">
      <w:pPr>
        <w:pStyle w:val="p7"/>
      </w:pPr>
      <w:r>
        <w:t>•</w:t>
      </w:r>
      <w:r>
        <w:rPr>
          <w:rStyle w:val="apple-tab-span"/>
          <w:rFonts w:eastAsiaTheme="majorEastAsia"/>
        </w:rPr>
        <w:t xml:space="preserve"> </w:t>
      </w:r>
      <w:r>
        <w:rPr>
          <w:rStyle w:val="s3"/>
          <w:b/>
          <w:bCs/>
        </w:rPr>
        <w:t>4Ç24:</w:t>
      </w:r>
      <w:r>
        <w:t xml:space="preserve"> Çeyreklik bazda %11 artarak TL 20,6 milyar seviyesine çıkmıştır. Böylece yıllık büyüme %116 düzeyinde gerçekleşmiştir ( ).</w:t>
      </w:r>
    </w:p>
    <w:p w14:paraId="7E1137EE" w14:textId="77777777" w:rsidR="000C048A" w:rsidRDefault="000C048A" w:rsidP="000C048A">
      <w:pPr>
        <w:pStyle w:val="p2"/>
      </w:pPr>
    </w:p>
    <w:p w14:paraId="759B904E" w14:textId="77777777" w:rsidR="000C048A" w:rsidRDefault="000C048A" w:rsidP="000C048A">
      <w:pPr>
        <w:pStyle w:val="p4"/>
      </w:pPr>
      <w:r>
        <w:t>Bu performans, bankanın kredi kartları, sigorta ürünleri, para transferi, varlık yönetimi gibi alanlarda yüksek hacimde işlem ve gelir elde ettiğini göstermektedir. Özellikle yüksek enflasyon döneminde bankacılık işlemlerinin hacmi ve ücret/komisyon oranları artış eğilimindedir.</w:t>
      </w:r>
    </w:p>
    <w:p w14:paraId="6BFC0149" w14:textId="77777777" w:rsidR="000C048A" w:rsidRDefault="000C048A" w:rsidP="000C048A">
      <w:pPr>
        <w:pStyle w:val="p2"/>
      </w:pPr>
    </w:p>
    <w:p w14:paraId="3DCA3E96" w14:textId="77777777" w:rsidR="000C048A" w:rsidRDefault="000C048A" w:rsidP="000C048A">
      <w:pPr>
        <w:pStyle w:val="p3"/>
      </w:pPr>
      <w:r>
        <w:rPr>
          <w:b/>
          <w:bCs/>
        </w:rPr>
        <w:t>2.4. Takipteki Krediler ve Risk Maliyeti</w:t>
      </w:r>
    </w:p>
    <w:p w14:paraId="12CFDE15" w14:textId="77777777" w:rsidR="000C048A" w:rsidRDefault="000C048A" w:rsidP="000C048A">
      <w:pPr>
        <w:pStyle w:val="p5"/>
      </w:pPr>
      <w:r>
        <w:rPr>
          <w:rStyle w:val="s1"/>
          <w:rFonts w:eastAsiaTheme="majorEastAsia"/>
        </w:rPr>
        <w:t>•</w:t>
      </w:r>
      <w:r>
        <w:rPr>
          <w:rStyle w:val="apple-tab-span"/>
          <w:rFonts w:eastAsiaTheme="majorEastAsia"/>
        </w:rPr>
        <w:t xml:space="preserve"> </w:t>
      </w:r>
      <w:r>
        <w:rPr>
          <w:b/>
          <w:bCs/>
        </w:rPr>
        <w:t>Takibe Atılan Krediler:</w:t>
      </w:r>
    </w:p>
    <w:p w14:paraId="4B877A16" w14:textId="77777777" w:rsidR="000C048A" w:rsidRDefault="000C048A" w:rsidP="000C048A">
      <w:pPr>
        <w:pStyle w:val="p8"/>
      </w:pPr>
      <w:r>
        <w:t>•</w:t>
      </w:r>
      <w:r>
        <w:rPr>
          <w:rStyle w:val="apple-tab-span"/>
          <w:rFonts w:eastAsiaTheme="majorEastAsia"/>
        </w:rPr>
        <w:t xml:space="preserve"> </w:t>
      </w:r>
      <w:r>
        <w:t>3Ç24’te tahsilat performansı güçlü olmasına karşın, takibe aktarılan kredilerde net giriş TL 15,1 milyar düzeyine yükselmiştir ( ).</w:t>
      </w:r>
    </w:p>
    <w:p w14:paraId="27636926" w14:textId="77777777" w:rsidR="000C048A" w:rsidRDefault="000C048A" w:rsidP="000C048A">
      <w:pPr>
        <w:pStyle w:val="p8"/>
      </w:pPr>
      <w:r>
        <w:t>•</w:t>
      </w:r>
      <w:r>
        <w:rPr>
          <w:rStyle w:val="apple-tab-span"/>
          <w:rFonts w:eastAsiaTheme="majorEastAsia"/>
        </w:rPr>
        <w:t xml:space="preserve"> </w:t>
      </w:r>
      <w:r>
        <w:t>4Ç24’te net takibe atılan kredilerin TL 5 milyara gerilediği, ancak yılın tamamında genele bakıldığında önceki yıla göre yüksek seyrettiği görülmektedir ( ).</w:t>
      </w:r>
    </w:p>
    <w:p w14:paraId="2BC59166" w14:textId="77777777" w:rsidR="000C048A" w:rsidRDefault="000C048A" w:rsidP="000C048A">
      <w:pPr>
        <w:pStyle w:val="p5"/>
      </w:pPr>
      <w:r>
        <w:rPr>
          <w:rStyle w:val="s1"/>
          <w:rFonts w:eastAsiaTheme="majorEastAsia"/>
        </w:rPr>
        <w:t>•</w:t>
      </w:r>
      <w:r>
        <w:rPr>
          <w:rStyle w:val="apple-tab-span"/>
          <w:rFonts w:eastAsiaTheme="majorEastAsia"/>
        </w:rPr>
        <w:t xml:space="preserve"> </w:t>
      </w:r>
      <w:r>
        <w:rPr>
          <w:b/>
          <w:bCs/>
        </w:rPr>
        <w:t>Risk Maliyeti:</w:t>
      </w:r>
    </w:p>
    <w:p w14:paraId="5567D18B" w14:textId="77777777" w:rsidR="000C048A" w:rsidRDefault="000C048A" w:rsidP="000C048A">
      <w:pPr>
        <w:pStyle w:val="p8"/>
      </w:pPr>
      <w:r>
        <w:t>•</w:t>
      </w:r>
      <w:r>
        <w:rPr>
          <w:rStyle w:val="apple-tab-span"/>
          <w:rFonts w:eastAsiaTheme="majorEastAsia"/>
        </w:rPr>
        <w:t xml:space="preserve"> </w:t>
      </w:r>
      <w:r>
        <w:t>3Ç24 itibarıyla kur farkı hariç net risk maliyeti ilk dokuz ayda 87 baz puan olarak düşük kalmıştır ( ).</w:t>
      </w:r>
    </w:p>
    <w:p w14:paraId="0ADE9306" w14:textId="77777777" w:rsidR="000C048A" w:rsidRDefault="000C048A" w:rsidP="000C048A">
      <w:pPr>
        <w:pStyle w:val="p8"/>
      </w:pPr>
      <w:r>
        <w:t>•</w:t>
      </w:r>
      <w:r>
        <w:rPr>
          <w:rStyle w:val="apple-tab-span"/>
          <w:rFonts w:eastAsiaTheme="majorEastAsia"/>
        </w:rPr>
        <w:t xml:space="preserve"> </w:t>
      </w:r>
      <w:r>
        <w:t>4Ç24’te ise karşılık giderlerinin artması ve model kalibrasyonuyla birlikte net risk maliyeti %128 baz puana yükselmiş, son çeyrekte 257 baz puan olarak gerçekleşmiştir ( ).</w:t>
      </w:r>
    </w:p>
    <w:p w14:paraId="17BAF246" w14:textId="77777777" w:rsidR="000C048A" w:rsidRDefault="000C048A" w:rsidP="000C048A">
      <w:pPr>
        <w:pStyle w:val="p2"/>
      </w:pPr>
    </w:p>
    <w:p w14:paraId="79ED1788" w14:textId="77777777" w:rsidR="000C048A" w:rsidRDefault="000C048A" w:rsidP="000C048A">
      <w:pPr>
        <w:pStyle w:val="p4"/>
      </w:pPr>
      <w:r>
        <w:t>Banka yönetimi, aktif kalitedeki “normalleşme” sürecinin bir yansıması olarak 2025’te risk maliyetinin 150-200 baz puan aralığına çıkabileceğini belirtmektedir. Bu da artan takipteki kredilerin bir sonucu olarak daha muhafazakâr bir karşılık yaklaşımını yansıtmaktadır.</w:t>
      </w:r>
    </w:p>
    <w:p w14:paraId="17ACADC7" w14:textId="77777777" w:rsidR="000C048A" w:rsidRDefault="000C048A" w:rsidP="000C048A">
      <w:pPr>
        <w:pStyle w:val="p1"/>
      </w:pPr>
      <w:r>
        <w:rPr>
          <w:b/>
          <w:bCs/>
        </w:rPr>
        <w:t>3. FİNANSAL GÖSTERGELERİN DETAYLI ANALİZİ</w:t>
      </w:r>
    </w:p>
    <w:p w14:paraId="56935806" w14:textId="77777777" w:rsidR="000C048A" w:rsidRDefault="000C048A" w:rsidP="000C048A">
      <w:pPr>
        <w:pStyle w:val="p2"/>
      </w:pPr>
    </w:p>
    <w:p w14:paraId="6DA4C8E0" w14:textId="77777777" w:rsidR="000C048A" w:rsidRDefault="000C048A" w:rsidP="000C048A">
      <w:pPr>
        <w:pStyle w:val="p3"/>
      </w:pPr>
      <w:r>
        <w:rPr>
          <w:b/>
          <w:bCs/>
        </w:rPr>
        <w:t>3.1. Gelir Kalemleri</w:t>
      </w:r>
    </w:p>
    <w:p w14:paraId="65BB2C63" w14:textId="77777777" w:rsidR="000C048A" w:rsidRDefault="000C048A" w:rsidP="000C048A">
      <w:pPr>
        <w:pStyle w:val="p4"/>
      </w:pPr>
      <w:r>
        <w:rPr>
          <w:rStyle w:val="s1"/>
          <w:rFonts w:eastAsiaTheme="majorEastAsia"/>
        </w:rPr>
        <w:t>•</w:t>
      </w:r>
      <w:r>
        <w:rPr>
          <w:rStyle w:val="apple-tab-span"/>
          <w:rFonts w:eastAsiaTheme="majorEastAsia"/>
        </w:rPr>
        <w:t xml:space="preserve"> </w:t>
      </w:r>
      <w:r>
        <w:rPr>
          <w:b/>
          <w:bCs/>
        </w:rPr>
        <w:t>Net Faiz Geliri:</w:t>
      </w:r>
    </w:p>
    <w:p w14:paraId="58A2CB46" w14:textId="77777777" w:rsidR="000C048A" w:rsidRDefault="000C048A" w:rsidP="000C048A">
      <w:pPr>
        <w:pStyle w:val="p5"/>
      </w:pPr>
      <w:r>
        <w:lastRenderedPageBreak/>
        <w:t>Marj sıkışmasına rağmen TÜFEX gelirleri ve KKM gibi düşük maliyetli fonlama kaynakları bankanın net faiz gelirini desteklemiştir. 4Ç24’te TL kredi-mevduat makasının kısmen açılması marjların dipten dönmesini sağlamıştır.</w:t>
      </w:r>
    </w:p>
    <w:p w14:paraId="785D1930" w14:textId="77777777" w:rsidR="000C048A" w:rsidRDefault="000C048A" w:rsidP="000C048A">
      <w:pPr>
        <w:pStyle w:val="p4"/>
      </w:pPr>
      <w:r>
        <w:rPr>
          <w:rStyle w:val="s1"/>
          <w:rFonts w:eastAsiaTheme="majorEastAsia"/>
        </w:rPr>
        <w:t>•</w:t>
      </w:r>
      <w:r>
        <w:rPr>
          <w:rStyle w:val="apple-tab-span"/>
          <w:rFonts w:eastAsiaTheme="majorEastAsia"/>
        </w:rPr>
        <w:t xml:space="preserve"> </w:t>
      </w:r>
      <w:r>
        <w:rPr>
          <w:b/>
          <w:bCs/>
        </w:rPr>
        <w:t>Ücret ve Komisyonlar:</w:t>
      </w:r>
    </w:p>
    <w:p w14:paraId="269C41B2" w14:textId="77777777" w:rsidR="000C048A" w:rsidRDefault="000C048A" w:rsidP="000C048A">
      <w:pPr>
        <w:pStyle w:val="p5"/>
      </w:pPr>
      <w:r>
        <w:t>Kredi kartları, sigorta, varlık yönetimi, para transferleri gibi kalemlerin önderliğinde ücret-komisyon gelirleri hem 3Ç24 hem de 4Ç24’te güçlü artış göstererek toplam gelirler içindeki payını artırmıştır.</w:t>
      </w:r>
    </w:p>
    <w:p w14:paraId="53911BDC" w14:textId="77777777" w:rsidR="000C048A" w:rsidRDefault="000C048A" w:rsidP="000C048A">
      <w:pPr>
        <w:pStyle w:val="p4"/>
      </w:pPr>
      <w:r>
        <w:rPr>
          <w:rStyle w:val="s1"/>
          <w:rFonts w:eastAsiaTheme="majorEastAsia"/>
        </w:rPr>
        <w:t>•</w:t>
      </w:r>
      <w:r>
        <w:rPr>
          <w:rStyle w:val="apple-tab-span"/>
          <w:rFonts w:eastAsiaTheme="majorEastAsia"/>
        </w:rPr>
        <w:t xml:space="preserve"> </w:t>
      </w:r>
      <w:r>
        <w:rPr>
          <w:b/>
          <w:bCs/>
        </w:rPr>
        <w:t>Türev İşlemler ve Trading Gelirleri:</w:t>
      </w:r>
    </w:p>
    <w:p w14:paraId="00E6AABB" w14:textId="77777777" w:rsidR="000C048A" w:rsidRDefault="000C048A" w:rsidP="000C048A">
      <w:pPr>
        <w:pStyle w:val="p5"/>
      </w:pPr>
      <w:r>
        <w:t>Yüksek swap maliyetine rağmen bankanın döviz alım-satım ve türev işlemlerinden kâr elde ettiği; 3Ç24 ve 4Ç24 dokümanlarında trading kaleminin bankanın kârlılığını desteklediği görülmüştür ( ;</w:t>
      </w:r>
      <w:r>
        <w:rPr>
          <w:rStyle w:val="apple-converted-space"/>
        </w:rPr>
        <w:t xml:space="preserve">  </w:t>
      </w:r>
      <w:r>
        <w:t>).</w:t>
      </w:r>
    </w:p>
    <w:p w14:paraId="2C307950" w14:textId="77777777" w:rsidR="000C048A" w:rsidRDefault="000C048A" w:rsidP="000C048A">
      <w:pPr>
        <w:pStyle w:val="p2"/>
      </w:pPr>
    </w:p>
    <w:p w14:paraId="5AAAC070" w14:textId="77777777" w:rsidR="000C048A" w:rsidRDefault="000C048A" w:rsidP="000C048A">
      <w:pPr>
        <w:pStyle w:val="p3"/>
      </w:pPr>
      <w:r>
        <w:rPr>
          <w:b/>
          <w:bCs/>
        </w:rPr>
        <w:t>3.2. Faaliyet Giderleri</w:t>
      </w:r>
    </w:p>
    <w:p w14:paraId="63A56DE0" w14:textId="77777777" w:rsidR="000C048A" w:rsidRDefault="000C048A" w:rsidP="000C048A">
      <w:pPr>
        <w:pStyle w:val="p2"/>
      </w:pPr>
    </w:p>
    <w:p w14:paraId="5C752328" w14:textId="77777777" w:rsidR="000C048A" w:rsidRDefault="000C048A" w:rsidP="000C048A">
      <w:pPr>
        <w:pStyle w:val="p5"/>
      </w:pPr>
      <w:r>
        <w:t>Personel giderleri, şube operasyon giderleri, teknolojik altyapı ve pazarlama masrafları gibi kalemlerde enflasyon kaynaklı artışlar yaşanmaktadır. Buna karşın, artan gelirler sayesinde gider/gelir rasyosu görece makul seviyelerde seyretmektedir. 4Ç24 itibarıyla faaliyet giderlerinde belirgin bir artış görülse de, net kâr performansı bu etkiyi kısmen soğurmuştur.</w:t>
      </w:r>
    </w:p>
    <w:p w14:paraId="14D2AE3E" w14:textId="77777777" w:rsidR="000C048A" w:rsidRDefault="000C048A" w:rsidP="000C048A">
      <w:pPr>
        <w:pStyle w:val="p2"/>
      </w:pPr>
    </w:p>
    <w:p w14:paraId="71734BE6" w14:textId="77777777" w:rsidR="000C048A" w:rsidRDefault="000C048A" w:rsidP="000C048A">
      <w:pPr>
        <w:pStyle w:val="p3"/>
      </w:pPr>
      <w:r>
        <w:rPr>
          <w:b/>
          <w:bCs/>
        </w:rPr>
        <w:t>3.3. Fonlama Maliyeti ve Mevduat Kompozisyonu</w:t>
      </w:r>
    </w:p>
    <w:p w14:paraId="6F33AC6A" w14:textId="77777777" w:rsidR="000C048A" w:rsidRDefault="000C048A" w:rsidP="000C048A">
      <w:pPr>
        <w:pStyle w:val="p2"/>
      </w:pPr>
    </w:p>
    <w:p w14:paraId="2C6A5412" w14:textId="77777777" w:rsidR="000C048A" w:rsidRDefault="000C048A" w:rsidP="000C048A">
      <w:pPr>
        <w:pStyle w:val="p5"/>
      </w:pPr>
      <w:r>
        <w:t>Artan faizler, bankanın TL mevduatlarında daha yüksek maliyet ödemesine yol açmıştır. Ayrıca, yurtiçi swapların kısıtlanmasıyla repo fonlaması payı artmış, bu da kârlılık baskısı oluşturmaktadır. Akbank, KKM ve yabancı para mevduatlarını da aktif şekilde kullanmakta, ancak mevduat munzam oranlarındaki artış gibi düzenleyici değişiklikler marjları sınırlamaktadır.</w:t>
      </w:r>
    </w:p>
    <w:p w14:paraId="0628103B" w14:textId="77777777" w:rsidR="000C048A" w:rsidRDefault="000C048A" w:rsidP="000C048A">
      <w:pPr>
        <w:pStyle w:val="p1"/>
      </w:pPr>
      <w:r>
        <w:rPr>
          <w:b/>
          <w:bCs/>
        </w:rPr>
        <w:t>4. 2025 ÖNGÖRÜLERİ VE STRATEJİ</w:t>
      </w:r>
    </w:p>
    <w:p w14:paraId="4A036B2B" w14:textId="77777777" w:rsidR="000C048A" w:rsidRDefault="000C048A" w:rsidP="000C048A">
      <w:pPr>
        <w:pStyle w:val="p2"/>
      </w:pPr>
    </w:p>
    <w:p w14:paraId="00333242" w14:textId="77777777" w:rsidR="000C048A" w:rsidRDefault="000C048A" w:rsidP="000C048A">
      <w:pPr>
        <w:pStyle w:val="p3"/>
      </w:pPr>
      <w:r>
        <w:rPr>
          <w:b/>
          <w:bCs/>
        </w:rPr>
        <w:t>4.1. Banka Yönetiminin 2025 Hedefleri</w:t>
      </w:r>
    </w:p>
    <w:p w14:paraId="471BB517" w14:textId="77777777" w:rsidR="000C048A" w:rsidRDefault="000C048A" w:rsidP="000C048A">
      <w:pPr>
        <w:pStyle w:val="p2"/>
      </w:pPr>
    </w:p>
    <w:p w14:paraId="0CFF0628" w14:textId="77777777" w:rsidR="000C048A" w:rsidRDefault="000C048A" w:rsidP="000C048A">
      <w:pPr>
        <w:pStyle w:val="p4"/>
      </w:pPr>
      <w:r>
        <w:lastRenderedPageBreak/>
        <w:t>4Ç24 sonuçlarıyla birlikte paylaşılan 2025 bütçe hedefleri ( ):</w:t>
      </w:r>
    </w:p>
    <w:p w14:paraId="2E9BE361" w14:textId="77777777" w:rsidR="000C048A" w:rsidRDefault="000C048A" w:rsidP="000C048A">
      <w:pPr>
        <w:pStyle w:val="p5"/>
      </w:pPr>
      <w:r>
        <w:rPr>
          <w:rStyle w:val="s2"/>
          <w:rFonts w:eastAsiaTheme="majorEastAsia"/>
        </w:rPr>
        <w:t>1.</w:t>
      </w:r>
      <w:r>
        <w:rPr>
          <w:rStyle w:val="apple-tab-span"/>
          <w:rFonts w:eastAsiaTheme="majorEastAsia"/>
        </w:rPr>
        <w:t xml:space="preserve"> </w:t>
      </w:r>
      <w:r>
        <w:rPr>
          <w:b/>
          <w:bCs/>
        </w:rPr>
        <w:t>Kredi Büyümesi:</w:t>
      </w:r>
    </w:p>
    <w:p w14:paraId="2D6ED895" w14:textId="77777777" w:rsidR="000C048A" w:rsidRDefault="000C048A" w:rsidP="000C048A">
      <w:pPr>
        <w:pStyle w:val="p6"/>
      </w:pPr>
      <w:r>
        <w:t>•</w:t>
      </w:r>
      <w:r>
        <w:rPr>
          <w:rStyle w:val="apple-tab-span"/>
          <w:rFonts w:eastAsiaTheme="majorEastAsia"/>
        </w:rPr>
        <w:t xml:space="preserve"> </w:t>
      </w:r>
      <w:r>
        <w:t>TL kredilerde %30+ artış öngörülürken, döviz kredilerde (USD bazında) yüksek onlu yüzdelerde büyüme hedeflenmektedir.</w:t>
      </w:r>
    </w:p>
    <w:p w14:paraId="10778587" w14:textId="77777777" w:rsidR="000C048A" w:rsidRDefault="000C048A" w:rsidP="000C048A">
      <w:pPr>
        <w:pStyle w:val="p5"/>
      </w:pPr>
      <w:r>
        <w:rPr>
          <w:rStyle w:val="s2"/>
          <w:rFonts w:eastAsiaTheme="majorEastAsia"/>
        </w:rPr>
        <w:t>2.</w:t>
      </w:r>
      <w:r>
        <w:rPr>
          <w:rStyle w:val="apple-tab-span"/>
          <w:rFonts w:eastAsiaTheme="majorEastAsia"/>
        </w:rPr>
        <w:t xml:space="preserve"> </w:t>
      </w:r>
      <w:r>
        <w:rPr>
          <w:b/>
          <w:bCs/>
        </w:rPr>
        <w:t>Ücret ve Komisyon Gelirleri:</w:t>
      </w:r>
    </w:p>
    <w:p w14:paraId="544A44C3" w14:textId="77777777" w:rsidR="000C048A" w:rsidRDefault="000C048A" w:rsidP="000C048A">
      <w:pPr>
        <w:pStyle w:val="p6"/>
      </w:pPr>
      <w:r>
        <w:t>•</w:t>
      </w:r>
      <w:r>
        <w:rPr>
          <w:rStyle w:val="apple-tab-span"/>
          <w:rFonts w:eastAsiaTheme="majorEastAsia"/>
        </w:rPr>
        <w:t xml:space="preserve"> </w:t>
      </w:r>
      <w:r>
        <w:t>Yaklaşık %40 oranında büyüme hedefi.</w:t>
      </w:r>
    </w:p>
    <w:p w14:paraId="403CD9F0" w14:textId="77777777" w:rsidR="000C048A" w:rsidRDefault="000C048A" w:rsidP="000C048A">
      <w:pPr>
        <w:pStyle w:val="p5"/>
      </w:pPr>
      <w:r>
        <w:rPr>
          <w:rStyle w:val="s2"/>
          <w:rFonts w:eastAsiaTheme="majorEastAsia"/>
        </w:rPr>
        <w:t>3.</w:t>
      </w:r>
      <w:r>
        <w:rPr>
          <w:rStyle w:val="apple-tab-span"/>
          <w:rFonts w:eastAsiaTheme="majorEastAsia"/>
        </w:rPr>
        <w:t xml:space="preserve"> </w:t>
      </w:r>
      <w:r>
        <w:rPr>
          <w:b/>
          <w:bCs/>
        </w:rPr>
        <w:t>Faaliyet Giderleri:</w:t>
      </w:r>
    </w:p>
    <w:p w14:paraId="798191A5" w14:textId="77777777" w:rsidR="000C048A" w:rsidRDefault="000C048A" w:rsidP="000C048A">
      <w:pPr>
        <w:pStyle w:val="p6"/>
      </w:pPr>
      <w:r>
        <w:t>•</w:t>
      </w:r>
      <w:r>
        <w:rPr>
          <w:rStyle w:val="apple-tab-span"/>
          <w:rFonts w:eastAsiaTheme="majorEastAsia"/>
        </w:rPr>
        <w:t xml:space="preserve"> </w:t>
      </w:r>
      <w:r>
        <w:t>Orta %40’lı seviyelerde artış. Banka, enflasyonun 2025’te devam edeceği varsayımıyla gider bütçesini planlamaktadır.</w:t>
      </w:r>
    </w:p>
    <w:p w14:paraId="7ABD4F63" w14:textId="77777777" w:rsidR="000C048A" w:rsidRDefault="000C048A" w:rsidP="000C048A">
      <w:pPr>
        <w:pStyle w:val="p5"/>
      </w:pPr>
      <w:r>
        <w:rPr>
          <w:rStyle w:val="s2"/>
          <w:rFonts w:eastAsiaTheme="majorEastAsia"/>
        </w:rPr>
        <w:t>4.</w:t>
      </w:r>
      <w:r>
        <w:rPr>
          <w:rStyle w:val="apple-tab-span"/>
          <w:rFonts w:eastAsiaTheme="majorEastAsia"/>
        </w:rPr>
        <w:t xml:space="preserve"> </w:t>
      </w:r>
      <w:r>
        <w:rPr>
          <w:b/>
          <w:bCs/>
        </w:rPr>
        <w:t>Net Faiz Marjı (Swap Düzeltilmiş):</w:t>
      </w:r>
    </w:p>
    <w:p w14:paraId="4B9B911C" w14:textId="77777777" w:rsidR="000C048A" w:rsidRDefault="000C048A" w:rsidP="000C048A">
      <w:pPr>
        <w:pStyle w:val="p6"/>
      </w:pPr>
      <w:r>
        <w:t>•</w:t>
      </w:r>
      <w:r>
        <w:rPr>
          <w:rStyle w:val="apple-tab-span"/>
          <w:rFonts w:eastAsiaTheme="majorEastAsia"/>
        </w:rPr>
        <w:t xml:space="preserve"> </w:t>
      </w:r>
      <w:r>
        <w:t>Yaklaşık 280 baz puan artışla %5 düzeyine ulaşması hedeflenmektedir. Sene içinde olası faiz indirimlerinin ve kredilerin yeniden fiyatlanmasının marjı destekleyeceği öngörülmektedir.</w:t>
      </w:r>
    </w:p>
    <w:p w14:paraId="2A1ABAA9" w14:textId="77777777" w:rsidR="000C048A" w:rsidRDefault="000C048A" w:rsidP="000C048A">
      <w:pPr>
        <w:pStyle w:val="p5"/>
      </w:pPr>
      <w:r>
        <w:rPr>
          <w:rStyle w:val="s2"/>
          <w:rFonts w:eastAsiaTheme="majorEastAsia"/>
        </w:rPr>
        <w:t>5.</w:t>
      </w:r>
      <w:r>
        <w:rPr>
          <w:rStyle w:val="apple-tab-span"/>
          <w:rFonts w:eastAsiaTheme="majorEastAsia"/>
        </w:rPr>
        <w:t xml:space="preserve"> </w:t>
      </w:r>
      <w:r>
        <w:rPr>
          <w:b/>
          <w:bCs/>
        </w:rPr>
        <w:t>Net Risk Maliyeti:</w:t>
      </w:r>
    </w:p>
    <w:p w14:paraId="5E77B6EA" w14:textId="77777777" w:rsidR="000C048A" w:rsidRDefault="000C048A" w:rsidP="000C048A">
      <w:pPr>
        <w:pStyle w:val="p6"/>
      </w:pPr>
      <w:r>
        <w:t>•</w:t>
      </w:r>
      <w:r>
        <w:rPr>
          <w:rStyle w:val="apple-tab-span"/>
          <w:rFonts w:eastAsiaTheme="majorEastAsia"/>
        </w:rPr>
        <w:t xml:space="preserve"> </w:t>
      </w:r>
      <w:r>
        <w:t>150-200 baz puan bandında olması beklenmektedir. 2024’e oranla bir miktar yüksektir, ancak aktif kalitenin “normalleşme” süreci kapsamında öngörülmüştür.</w:t>
      </w:r>
    </w:p>
    <w:p w14:paraId="31B120D3" w14:textId="77777777" w:rsidR="000C048A" w:rsidRDefault="000C048A" w:rsidP="000C048A">
      <w:pPr>
        <w:pStyle w:val="p5"/>
      </w:pPr>
      <w:r>
        <w:rPr>
          <w:rStyle w:val="s2"/>
          <w:rFonts w:eastAsiaTheme="majorEastAsia"/>
        </w:rPr>
        <w:t>6.</w:t>
      </w:r>
      <w:r>
        <w:rPr>
          <w:rStyle w:val="apple-tab-span"/>
          <w:rFonts w:eastAsiaTheme="majorEastAsia"/>
        </w:rPr>
        <w:t xml:space="preserve"> </w:t>
      </w:r>
      <w:r>
        <w:rPr>
          <w:b/>
          <w:bCs/>
        </w:rPr>
        <w:t>Özkaynak Kârlılığı (ROE):</w:t>
      </w:r>
    </w:p>
    <w:p w14:paraId="7345151E" w14:textId="77777777" w:rsidR="000C048A" w:rsidRDefault="000C048A" w:rsidP="000C048A">
      <w:pPr>
        <w:pStyle w:val="p6"/>
      </w:pPr>
      <w:r>
        <w:t>•</w:t>
      </w:r>
      <w:r>
        <w:rPr>
          <w:rStyle w:val="apple-tab-span"/>
          <w:rFonts w:eastAsiaTheme="majorEastAsia"/>
        </w:rPr>
        <w:t xml:space="preserve"> </w:t>
      </w:r>
      <w:r>
        <w:t>%30’un üzerinde bir düzeye ulaşılması hedeflenmektedir. Bu, enflasyon üzerinde reel getiri imkânına işaret etmektedir.</w:t>
      </w:r>
    </w:p>
    <w:p w14:paraId="3C481144" w14:textId="77777777" w:rsidR="000C048A" w:rsidRDefault="000C048A" w:rsidP="000C048A">
      <w:pPr>
        <w:pStyle w:val="p2"/>
      </w:pPr>
    </w:p>
    <w:p w14:paraId="33CB30CD" w14:textId="77777777" w:rsidR="000C048A" w:rsidRDefault="000C048A" w:rsidP="000C048A">
      <w:pPr>
        <w:pStyle w:val="p3"/>
      </w:pPr>
      <w:r>
        <w:rPr>
          <w:b/>
          <w:bCs/>
        </w:rPr>
        <w:t>4.2. Yatırımcılar Açısından Değerlendirme</w:t>
      </w:r>
    </w:p>
    <w:p w14:paraId="151BECCF" w14:textId="77777777" w:rsidR="000C048A" w:rsidRDefault="000C048A" w:rsidP="000C048A">
      <w:pPr>
        <w:pStyle w:val="p7"/>
      </w:pPr>
      <w:r>
        <w:t>•</w:t>
      </w:r>
      <w:r>
        <w:rPr>
          <w:rStyle w:val="apple-tab-span"/>
          <w:rFonts w:eastAsiaTheme="majorEastAsia"/>
        </w:rPr>
        <w:t xml:space="preserve"> </w:t>
      </w:r>
      <w:r>
        <w:t>Banka yönetimi, 2024 boyunca marj sıkışması ve artan düzenleme maliyetleri sebebiyle hedeflerin altında kalmış olsa da, 2025’te önemli bir toparlanma öngörmektedir.</w:t>
      </w:r>
    </w:p>
    <w:p w14:paraId="6B588DD9" w14:textId="77777777" w:rsidR="000C048A" w:rsidRDefault="000C048A" w:rsidP="000C048A">
      <w:pPr>
        <w:pStyle w:val="p7"/>
      </w:pPr>
      <w:r>
        <w:t>•</w:t>
      </w:r>
      <w:r>
        <w:rPr>
          <w:rStyle w:val="apple-tab-span"/>
          <w:rFonts w:eastAsiaTheme="majorEastAsia"/>
        </w:rPr>
        <w:t xml:space="preserve"> </w:t>
      </w:r>
      <w:r>
        <w:t>Özellikle faizlerde kademeli düşüş senaryosu, TL kredi-mevduat makasını açabilir. Ayrıca, aktif kalitenin yönetimindeki muhafazakâr tutum sayesinde büyük zarar riskleri minimize edilebilir.</w:t>
      </w:r>
    </w:p>
    <w:p w14:paraId="3F46B711" w14:textId="77777777" w:rsidR="000C048A" w:rsidRDefault="000C048A" w:rsidP="000C048A">
      <w:pPr>
        <w:pStyle w:val="p1"/>
      </w:pPr>
      <w:r>
        <w:rPr>
          <w:b/>
          <w:bCs/>
        </w:rPr>
        <w:t>5. SON BEŞ YILLIK PERFORMANSA KISA BİR BAKIŞ</w:t>
      </w:r>
    </w:p>
    <w:p w14:paraId="16E9DCF9" w14:textId="77777777" w:rsidR="000C048A" w:rsidRDefault="000C048A" w:rsidP="000C048A">
      <w:pPr>
        <w:pStyle w:val="p2"/>
      </w:pPr>
    </w:p>
    <w:p w14:paraId="24CEEF1C" w14:textId="77777777" w:rsidR="000C048A" w:rsidRDefault="000C048A" w:rsidP="000C048A">
      <w:pPr>
        <w:pStyle w:val="p3"/>
      </w:pPr>
      <w:r>
        <w:lastRenderedPageBreak/>
        <w:t>Akbank’ın 5 yıllık performansı, Türkiye ekonomisindeki dalgalanmalara ve pandemi etkilerine rağmen istikrarlı bir kârlılık çizgisi izlemektedir:</w:t>
      </w:r>
    </w:p>
    <w:p w14:paraId="31B7D6EB" w14:textId="77777777" w:rsidR="000C048A" w:rsidRDefault="000C048A" w:rsidP="000C048A">
      <w:pPr>
        <w:pStyle w:val="p4"/>
      </w:pPr>
      <w:r>
        <w:rPr>
          <w:rStyle w:val="s1"/>
          <w:rFonts w:eastAsiaTheme="majorEastAsia"/>
        </w:rPr>
        <w:t>1.</w:t>
      </w:r>
      <w:r>
        <w:rPr>
          <w:rStyle w:val="apple-tab-span"/>
          <w:rFonts w:eastAsiaTheme="majorEastAsia"/>
        </w:rPr>
        <w:t xml:space="preserve"> </w:t>
      </w:r>
      <w:r>
        <w:rPr>
          <w:b/>
          <w:bCs/>
        </w:rPr>
        <w:t>2019–2020:</w:t>
      </w:r>
    </w:p>
    <w:p w14:paraId="74BCD5BA" w14:textId="77777777" w:rsidR="000C048A" w:rsidRDefault="000C048A" w:rsidP="000C048A">
      <w:pPr>
        <w:pStyle w:val="p5"/>
      </w:pPr>
      <w:r>
        <w:t>•</w:t>
      </w:r>
      <w:r>
        <w:rPr>
          <w:rStyle w:val="apple-tab-span"/>
          <w:rFonts w:eastAsiaTheme="majorEastAsia"/>
        </w:rPr>
        <w:t xml:space="preserve"> </w:t>
      </w:r>
      <w:r>
        <w:t>Pandeminin başlangıcı ve faizlerdeki ani düşüşler bankaların net faiz gelirlerini kısıtlamıştır. Akbank, bu dönemde dijital bankacılık kanallarına yoğunlaşmış, kredi kartı ve POS ağında pazar payını korumuştur.</w:t>
      </w:r>
    </w:p>
    <w:p w14:paraId="0B60310B" w14:textId="77777777" w:rsidR="000C048A" w:rsidRDefault="000C048A" w:rsidP="000C048A">
      <w:pPr>
        <w:pStyle w:val="p4"/>
      </w:pPr>
      <w:r>
        <w:rPr>
          <w:rStyle w:val="s1"/>
          <w:rFonts w:eastAsiaTheme="majorEastAsia"/>
        </w:rPr>
        <w:t>2.</w:t>
      </w:r>
      <w:r>
        <w:rPr>
          <w:rStyle w:val="apple-tab-span"/>
          <w:rFonts w:eastAsiaTheme="majorEastAsia"/>
        </w:rPr>
        <w:t xml:space="preserve"> </w:t>
      </w:r>
      <w:r>
        <w:rPr>
          <w:b/>
          <w:bCs/>
        </w:rPr>
        <w:t>2021–2022:</w:t>
      </w:r>
    </w:p>
    <w:p w14:paraId="044618D7" w14:textId="77777777" w:rsidR="000C048A" w:rsidRDefault="000C048A" w:rsidP="000C048A">
      <w:pPr>
        <w:pStyle w:val="p5"/>
      </w:pPr>
      <w:r>
        <w:t>•</w:t>
      </w:r>
      <w:r>
        <w:rPr>
          <w:rStyle w:val="apple-tab-span"/>
          <w:rFonts w:eastAsiaTheme="majorEastAsia"/>
        </w:rPr>
        <w:t xml:space="preserve"> </w:t>
      </w:r>
      <w:r>
        <w:t>Normalleşme ve yükselen enflasyon süreci; kur dalgalanmaları nedeniyle bankaların aktif kalitesi ve marjları üzerinde dalgalanmalar yaratmıştır. Akbank, takibe düşen kredilerde muhafazakâr karşılık uygulamalarıyla öne çıkmıştır.</w:t>
      </w:r>
    </w:p>
    <w:p w14:paraId="1033992B" w14:textId="77777777" w:rsidR="000C048A" w:rsidRDefault="000C048A" w:rsidP="000C048A">
      <w:pPr>
        <w:pStyle w:val="p4"/>
      </w:pPr>
      <w:r>
        <w:rPr>
          <w:rStyle w:val="s1"/>
          <w:rFonts w:eastAsiaTheme="majorEastAsia"/>
        </w:rPr>
        <w:t>3.</w:t>
      </w:r>
      <w:r>
        <w:rPr>
          <w:rStyle w:val="apple-tab-span"/>
          <w:rFonts w:eastAsiaTheme="majorEastAsia"/>
        </w:rPr>
        <w:t xml:space="preserve"> </w:t>
      </w:r>
      <w:r>
        <w:rPr>
          <w:b/>
          <w:bCs/>
        </w:rPr>
        <w:t>2023–2024:</w:t>
      </w:r>
    </w:p>
    <w:p w14:paraId="2687CEC7" w14:textId="77777777" w:rsidR="000C048A" w:rsidRDefault="000C048A" w:rsidP="000C048A">
      <w:pPr>
        <w:pStyle w:val="p5"/>
      </w:pPr>
      <w:r>
        <w:t>•</w:t>
      </w:r>
      <w:r>
        <w:rPr>
          <w:rStyle w:val="apple-tab-span"/>
          <w:rFonts w:eastAsiaTheme="majorEastAsia"/>
        </w:rPr>
        <w:t xml:space="preserve"> </w:t>
      </w:r>
      <w:r>
        <w:t>Yüksek faiz ortamının baskıları neticesinde marjlarda sıkışma yaşansa da TÜFEX gelirleri, komisyon gelirlerindeki güçlü artış ve döviz alım-satım kazançları kârlılığı desteklemiştir. Özellikle 2024’te özkaynak kârlılığı %19 seviyesinde gerçekleşmiştir.</w:t>
      </w:r>
    </w:p>
    <w:p w14:paraId="43147F0F" w14:textId="77777777" w:rsidR="000C048A" w:rsidRDefault="000C048A" w:rsidP="000C048A">
      <w:pPr>
        <w:pStyle w:val="p4"/>
      </w:pPr>
      <w:r>
        <w:rPr>
          <w:rStyle w:val="s1"/>
          <w:rFonts w:eastAsiaTheme="majorEastAsia"/>
        </w:rPr>
        <w:t>4.</w:t>
      </w:r>
      <w:r>
        <w:rPr>
          <w:rStyle w:val="apple-tab-span"/>
          <w:rFonts w:eastAsiaTheme="majorEastAsia"/>
        </w:rPr>
        <w:t xml:space="preserve"> </w:t>
      </w:r>
      <w:r>
        <w:rPr>
          <w:b/>
          <w:bCs/>
        </w:rPr>
        <w:t>Dijitalleşme ve Müşteri Kazanımı:</w:t>
      </w:r>
    </w:p>
    <w:p w14:paraId="045B4954" w14:textId="77777777" w:rsidR="000C048A" w:rsidRDefault="000C048A" w:rsidP="000C048A">
      <w:pPr>
        <w:pStyle w:val="p5"/>
      </w:pPr>
      <w:r>
        <w:t>•</w:t>
      </w:r>
      <w:r>
        <w:rPr>
          <w:rStyle w:val="apple-tab-span"/>
          <w:rFonts w:eastAsiaTheme="majorEastAsia"/>
        </w:rPr>
        <w:t xml:space="preserve"> </w:t>
      </w:r>
      <w:r>
        <w:t>Son 5 yılda Akbank, dijital kanallarda ciddi yatırımlar yapmış, hem aktif hem de pasif tarafta müşteri kazanımı elde etmiştir. Yüksek komisyon gelirlerinde bu faktörün de payı olduğu belirtilmektedir.</w:t>
      </w:r>
    </w:p>
    <w:p w14:paraId="3D18DE0D" w14:textId="77777777" w:rsidR="000C048A" w:rsidRDefault="000C048A" w:rsidP="000C048A">
      <w:pPr>
        <w:pStyle w:val="p1"/>
      </w:pPr>
      <w:r>
        <w:rPr>
          <w:b/>
          <w:bCs/>
        </w:rPr>
        <w:t>6. RİSKLER VE FIRSATLAR</w:t>
      </w:r>
    </w:p>
    <w:p w14:paraId="7E0B7DF3" w14:textId="77777777" w:rsidR="000C048A" w:rsidRDefault="000C048A" w:rsidP="000C048A">
      <w:pPr>
        <w:pStyle w:val="p2"/>
      </w:pPr>
    </w:p>
    <w:p w14:paraId="19EBBC54" w14:textId="77777777" w:rsidR="000C048A" w:rsidRDefault="000C048A" w:rsidP="000C048A">
      <w:pPr>
        <w:pStyle w:val="p3"/>
      </w:pPr>
      <w:r>
        <w:rPr>
          <w:b/>
          <w:bCs/>
        </w:rPr>
        <w:t>6.1. Temel Riskler</w:t>
      </w:r>
    </w:p>
    <w:p w14:paraId="03A4AF52" w14:textId="77777777" w:rsidR="000C048A" w:rsidRDefault="000C048A" w:rsidP="000C048A">
      <w:pPr>
        <w:pStyle w:val="p4"/>
      </w:pPr>
      <w:r>
        <w:rPr>
          <w:rStyle w:val="s1"/>
          <w:rFonts w:eastAsiaTheme="majorEastAsia"/>
        </w:rPr>
        <w:t>1.</w:t>
      </w:r>
      <w:r>
        <w:rPr>
          <w:rStyle w:val="apple-tab-span"/>
          <w:rFonts w:eastAsiaTheme="majorEastAsia"/>
        </w:rPr>
        <w:t xml:space="preserve"> </w:t>
      </w:r>
      <w:r>
        <w:rPr>
          <w:b/>
          <w:bCs/>
        </w:rPr>
        <w:t>Makroekonomik Belirsizlik:</w:t>
      </w:r>
    </w:p>
    <w:p w14:paraId="5FE6973B" w14:textId="77777777" w:rsidR="000C048A" w:rsidRDefault="000C048A" w:rsidP="000C048A">
      <w:pPr>
        <w:pStyle w:val="p5"/>
      </w:pPr>
      <w:r>
        <w:t>Enflasyonun ve faizlerin beklenenden daha uzun süre yüksek kalması, banka marjlarını baskılayabilir.</w:t>
      </w:r>
    </w:p>
    <w:p w14:paraId="2C44A659" w14:textId="77777777" w:rsidR="000C048A" w:rsidRDefault="000C048A" w:rsidP="000C048A">
      <w:pPr>
        <w:pStyle w:val="p4"/>
      </w:pPr>
      <w:r>
        <w:rPr>
          <w:rStyle w:val="s1"/>
          <w:rFonts w:eastAsiaTheme="majorEastAsia"/>
        </w:rPr>
        <w:t>2.</w:t>
      </w:r>
      <w:r>
        <w:rPr>
          <w:rStyle w:val="apple-tab-span"/>
          <w:rFonts w:eastAsiaTheme="majorEastAsia"/>
        </w:rPr>
        <w:t xml:space="preserve"> </w:t>
      </w:r>
      <w:r>
        <w:rPr>
          <w:b/>
          <w:bCs/>
        </w:rPr>
        <w:t>Döviz Kuru Hareketleri:</w:t>
      </w:r>
    </w:p>
    <w:p w14:paraId="60AE7E18" w14:textId="77777777" w:rsidR="000C048A" w:rsidRDefault="000C048A" w:rsidP="000C048A">
      <w:pPr>
        <w:pStyle w:val="p5"/>
      </w:pPr>
      <w:r>
        <w:t>Akbank’ın bilançosunda döviz cinsi aktif-pasif yönetimi bulunmakla birlikte, ani kur yükselişleri risk maliyeti ve karşılık seviyelerini etkileyebilir.</w:t>
      </w:r>
    </w:p>
    <w:p w14:paraId="21284FCA" w14:textId="77777777" w:rsidR="000C048A" w:rsidRDefault="000C048A" w:rsidP="000C048A">
      <w:pPr>
        <w:pStyle w:val="p4"/>
      </w:pPr>
      <w:r>
        <w:rPr>
          <w:rStyle w:val="s1"/>
          <w:rFonts w:eastAsiaTheme="majorEastAsia"/>
        </w:rPr>
        <w:t>3.</w:t>
      </w:r>
      <w:r>
        <w:rPr>
          <w:rStyle w:val="apple-tab-span"/>
          <w:rFonts w:eastAsiaTheme="majorEastAsia"/>
        </w:rPr>
        <w:t xml:space="preserve"> </w:t>
      </w:r>
      <w:r>
        <w:rPr>
          <w:b/>
          <w:bCs/>
        </w:rPr>
        <w:t>Regülasyonlar:</w:t>
      </w:r>
    </w:p>
    <w:p w14:paraId="2289AF88" w14:textId="77777777" w:rsidR="000C048A" w:rsidRDefault="000C048A" w:rsidP="000C048A">
      <w:pPr>
        <w:pStyle w:val="p5"/>
      </w:pPr>
      <w:r>
        <w:lastRenderedPageBreak/>
        <w:t>Munzam karşılık oranları, kredi büyüme sınırlamaları ve swap düzenlemeleri gibi kamu otoritesi kararları, bankanın fonlama yapısı ve kârlılığında ani değişikliklere sebep olabilir.</w:t>
      </w:r>
    </w:p>
    <w:p w14:paraId="171FC242" w14:textId="77777777" w:rsidR="000C048A" w:rsidRDefault="000C048A" w:rsidP="000C048A">
      <w:pPr>
        <w:pStyle w:val="p4"/>
      </w:pPr>
      <w:r>
        <w:rPr>
          <w:rStyle w:val="s1"/>
          <w:rFonts w:eastAsiaTheme="majorEastAsia"/>
        </w:rPr>
        <w:t>4.</w:t>
      </w:r>
      <w:r>
        <w:rPr>
          <w:rStyle w:val="apple-tab-span"/>
          <w:rFonts w:eastAsiaTheme="majorEastAsia"/>
        </w:rPr>
        <w:t xml:space="preserve"> </w:t>
      </w:r>
      <w:r>
        <w:rPr>
          <w:b/>
          <w:bCs/>
        </w:rPr>
        <w:t>Takipteki Kredilerde Olası Artış:</w:t>
      </w:r>
    </w:p>
    <w:p w14:paraId="386C2D40" w14:textId="77777777" w:rsidR="000C048A" w:rsidRDefault="000C048A" w:rsidP="000C048A">
      <w:pPr>
        <w:pStyle w:val="p5"/>
      </w:pPr>
      <w:r>
        <w:t>Ekonomik yavaşlama dönemlerinde bireysel ve ticari kredilerde temerrütler yükselebilir.</w:t>
      </w:r>
    </w:p>
    <w:p w14:paraId="2910D0D6" w14:textId="77777777" w:rsidR="000C048A" w:rsidRDefault="000C048A" w:rsidP="000C048A">
      <w:pPr>
        <w:pStyle w:val="p2"/>
      </w:pPr>
    </w:p>
    <w:p w14:paraId="05285A64" w14:textId="77777777" w:rsidR="000C048A" w:rsidRDefault="000C048A" w:rsidP="000C048A">
      <w:pPr>
        <w:pStyle w:val="p3"/>
      </w:pPr>
      <w:r>
        <w:rPr>
          <w:b/>
          <w:bCs/>
        </w:rPr>
        <w:t>6.2. Temel Fırsatlar</w:t>
      </w:r>
    </w:p>
    <w:p w14:paraId="78206E17" w14:textId="77777777" w:rsidR="000C048A" w:rsidRDefault="000C048A" w:rsidP="000C048A">
      <w:pPr>
        <w:pStyle w:val="p4"/>
      </w:pPr>
      <w:r>
        <w:rPr>
          <w:rStyle w:val="s1"/>
          <w:rFonts w:eastAsiaTheme="majorEastAsia"/>
        </w:rPr>
        <w:t>1.</w:t>
      </w:r>
      <w:r>
        <w:rPr>
          <w:rStyle w:val="apple-tab-span"/>
          <w:rFonts w:eastAsiaTheme="majorEastAsia"/>
        </w:rPr>
        <w:t xml:space="preserve"> </w:t>
      </w:r>
      <w:r>
        <w:rPr>
          <w:b/>
          <w:bCs/>
        </w:rPr>
        <w:t>Faizlerde Gevşeme Olasılığı:</w:t>
      </w:r>
    </w:p>
    <w:p w14:paraId="0F2C584D" w14:textId="77777777" w:rsidR="000C048A" w:rsidRDefault="000C048A" w:rsidP="000C048A">
      <w:pPr>
        <w:pStyle w:val="p5"/>
      </w:pPr>
      <w:r>
        <w:t>Yüksek faiz ortamından çıkış, bankanın net faiz marjını artırıp kârlılığı destekleyebilir.</w:t>
      </w:r>
    </w:p>
    <w:p w14:paraId="334443B0" w14:textId="77777777" w:rsidR="000C048A" w:rsidRDefault="000C048A" w:rsidP="000C048A">
      <w:pPr>
        <w:pStyle w:val="p4"/>
      </w:pPr>
      <w:r>
        <w:rPr>
          <w:rStyle w:val="s1"/>
          <w:rFonts w:eastAsiaTheme="majorEastAsia"/>
        </w:rPr>
        <w:t>2.</w:t>
      </w:r>
      <w:r>
        <w:rPr>
          <w:rStyle w:val="apple-tab-span"/>
          <w:rFonts w:eastAsiaTheme="majorEastAsia"/>
        </w:rPr>
        <w:t xml:space="preserve"> </w:t>
      </w:r>
      <w:r>
        <w:rPr>
          <w:b/>
          <w:bCs/>
        </w:rPr>
        <w:t>Ücret ve Komisyon Gelirlerinin Sürekli Yükselişi:</w:t>
      </w:r>
    </w:p>
    <w:p w14:paraId="5CE575E0" w14:textId="77777777" w:rsidR="000C048A" w:rsidRDefault="000C048A" w:rsidP="000C048A">
      <w:pPr>
        <w:pStyle w:val="p5"/>
      </w:pPr>
      <w:r>
        <w:t>Kredi kartı, dijital bankacılık ve diğer hizmet gelirleri sayesinde bankanın gelir tabanı çeşitlenmekte ve büyümektedir.</w:t>
      </w:r>
    </w:p>
    <w:p w14:paraId="69E80264" w14:textId="77777777" w:rsidR="000C048A" w:rsidRDefault="000C048A" w:rsidP="000C048A">
      <w:pPr>
        <w:pStyle w:val="p4"/>
      </w:pPr>
      <w:r>
        <w:rPr>
          <w:rStyle w:val="s1"/>
          <w:rFonts w:eastAsiaTheme="majorEastAsia"/>
        </w:rPr>
        <w:t>3.</w:t>
      </w:r>
      <w:r>
        <w:rPr>
          <w:rStyle w:val="apple-tab-span"/>
          <w:rFonts w:eastAsiaTheme="majorEastAsia"/>
        </w:rPr>
        <w:t xml:space="preserve"> </w:t>
      </w:r>
      <w:r>
        <w:rPr>
          <w:b/>
          <w:bCs/>
        </w:rPr>
        <w:t>2025 Hedefleri ve Marj Potansiyeli:</w:t>
      </w:r>
    </w:p>
    <w:p w14:paraId="04B0A560" w14:textId="77777777" w:rsidR="000C048A" w:rsidRDefault="000C048A" w:rsidP="000C048A">
      <w:pPr>
        <w:pStyle w:val="p5"/>
      </w:pPr>
      <w:r>
        <w:t>Banka yönetiminin öngördüğü 280 baz puanlık marj genişlemesi gerçekleşirse özkaynak kârlılığı %30’ları aşabilir, bu da hissede olumlu fiyatlama yaratabilir.</w:t>
      </w:r>
    </w:p>
    <w:p w14:paraId="07C50EB3" w14:textId="77777777" w:rsidR="000C048A" w:rsidRDefault="000C048A" w:rsidP="000C048A">
      <w:pPr>
        <w:pStyle w:val="p4"/>
      </w:pPr>
      <w:r>
        <w:rPr>
          <w:rStyle w:val="s1"/>
          <w:rFonts w:eastAsiaTheme="majorEastAsia"/>
        </w:rPr>
        <w:t>4.</w:t>
      </w:r>
      <w:r>
        <w:rPr>
          <w:rStyle w:val="apple-tab-span"/>
          <w:rFonts w:eastAsiaTheme="majorEastAsia"/>
        </w:rPr>
        <w:t xml:space="preserve"> </w:t>
      </w:r>
      <w:r>
        <w:rPr>
          <w:b/>
          <w:bCs/>
        </w:rPr>
        <w:t>Dijitalleşme ve Müşteri Deneyimi:</w:t>
      </w:r>
    </w:p>
    <w:p w14:paraId="2DD18CB2" w14:textId="77777777" w:rsidR="000C048A" w:rsidRDefault="000C048A" w:rsidP="000C048A">
      <w:pPr>
        <w:pStyle w:val="p5"/>
      </w:pPr>
      <w:r>
        <w:t>Akbank’ın uzun süredir sürdürdüğü dijitalleşme stratejisi, yüksek hacimde müşteri işlemi ve cross-sell fırsatı yaratarak komisyon gelirlerini daha da artırabilir.</w:t>
      </w:r>
    </w:p>
    <w:p w14:paraId="5B0F4DD2" w14:textId="77777777" w:rsidR="000C048A" w:rsidRDefault="000C048A" w:rsidP="000C048A">
      <w:pPr>
        <w:pStyle w:val="p1"/>
      </w:pPr>
      <w:r>
        <w:rPr>
          <w:b/>
          <w:bCs/>
        </w:rPr>
        <w:t>7. SONUÇ VE DEĞERLENDİRME</w:t>
      </w:r>
    </w:p>
    <w:p w14:paraId="7529643A" w14:textId="77777777" w:rsidR="000C048A" w:rsidRDefault="000C048A" w:rsidP="000C048A">
      <w:pPr>
        <w:pStyle w:val="p2"/>
      </w:pPr>
    </w:p>
    <w:p w14:paraId="4FF6F756" w14:textId="77777777" w:rsidR="000C048A" w:rsidRDefault="000C048A" w:rsidP="000C048A">
      <w:pPr>
        <w:pStyle w:val="p3"/>
      </w:pPr>
      <w:r>
        <w:rPr>
          <w:b/>
          <w:bCs/>
        </w:rPr>
        <w:t>Kısa Vadeli Görünüm (2024):</w:t>
      </w:r>
    </w:p>
    <w:p w14:paraId="507B783B" w14:textId="77777777" w:rsidR="000C048A" w:rsidRDefault="000C048A" w:rsidP="000C048A">
      <w:pPr>
        <w:pStyle w:val="p4"/>
      </w:pPr>
      <w:r>
        <w:t>Akbank, 2024 yılında marj daralması ve düzenleme kaynaklı maliyet artışlarıyla karşı karşıya kalmıştır. Yıllık özkaynak kârlılığı %19’da kalırken, swap düzeltilmiş net faiz marjı hedefin altında gerçekleşmiştir. Ancak banka, güçlü ücret-komisyon artışı ve varlık yönetimi gelirleriyle kârlılığını desteklemiştir.</w:t>
      </w:r>
    </w:p>
    <w:p w14:paraId="2BC04F0B" w14:textId="77777777" w:rsidR="000C048A" w:rsidRDefault="000C048A" w:rsidP="000C048A">
      <w:pPr>
        <w:pStyle w:val="p2"/>
      </w:pPr>
    </w:p>
    <w:p w14:paraId="0BA52A26" w14:textId="77777777" w:rsidR="000C048A" w:rsidRDefault="000C048A" w:rsidP="000C048A">
      <w:pPr>
        <w:pStyle w:val="p3"/>
      </w:pPr>
      <w:r>
        <w:rPr>
          <w:b/>
          <w:bCs/>
        </w:rPr>
        <w:t>Orta Vadeli Görünüm (2025):</w:t>
      </w:r>
    </w:p>
    <w:p w14:paraId="5A4E9C6A" w14:textId="77777777" w:rsidR="000C048A" w:rsidRDefault="000C048A" w:rsidP="000C048A">
      <w:pPr>
        <w:pStyle w:val="p4"/>
      </w:pPr>
      <w:r>
        <w:lastRenderedPageBreak/>
        <w:t>Banka yönetimi, %30’un üzerinde özkaynak kârlılığı hedefiyle iddialı bir projeksiyon sunmaktadır. Faiz indirimleri, kredi-mevduat makasının açılması ve TÜFEX gelirlerinin seyrine bağlı olarak net faiz marjının yaklaşık 280 baz puan artacağı öngörülmektedir. Aynı zamanda, net ücret ve komisyon gelirlerinde yaklaşık %40 büyüme, risk maliyetinde ise 150-200 baz puan aralığında bir yükseliş beklenmektedir.</w:t>
      </w:r>
    </w:p>
    <w:p w14:paraId="14D37995" w14:textId="77777777" w:rsidR="000C048A" w:rsidRDefault="000C048A" w:rsidP="000C048A">
      <w:pPr>
        <w:pStyle w:val="p2"/>
      </w:pPr>
    </w:p>
    <w:p w14:paraId="0FEC1243" w14:textId="77777777" w:rsidR="000C048A" w:rsidRDefault="000C048A" w:rsidP="000C048A">
      <w:pPr>
        <w:pStyle w:val="p3"/>
      </w:pPr>
      <w:r>
        <w:rPr>
          <w:b/>
          <w:bCs/>
        </w:rPr>
        <w:t>Beş Yıllık Perspektif:</w:t>
      </w:r>
    </w:p>
    <w:p w14:paraId="6E85529A" w14:textId="77777777" w:rsidR="000C048A" w:rsidRDefault="000C048A" w:rsidP="000C048A">
      <w:pPr>
        <w:pStyle w:val="p4"/>
      </w:pPr>
      <w:r>
        <w:t>2019’dan bu yana küresel ve yerel dalgalanmalara rağmen Akbank, dijitalleşme ve muhafazakâr risk yönetimi politikalarıyla düzenli bir kârlılık üretebilmektedir. 2024 yılı, düzenlemeler ve yüksek faiz baskısı nedeniyle nispeten zorlu geçmiş olsa da, 2025 öngörüleri bankanın toparlanma potansiyeline işaret etmektedir.</w:t>
      </w:r>
    </w:p>
    <w:p w14:paraId="0BBEDBFA" w14:textId="77777777" w:rsidR="000C048A" w:rsidRDefault="000C048A" w:rsidP="000C048A">
      <w:pPr>
        <w:pStyle w:val="p2"/>
      </w:pPr>
    </w:p>
    <w:p w14:paraId="3409CD3A" w14:textId="77777777" w:rsidR="000C048A" w:rsidRDefault="000C048A" w:rsidP="000C048A">
      <w:pPr>
        <w:pStyle w:val="p3"/>
      </w:pPr>
      <w:r>
        <w:rPr>
          <w:b/>
          <w:bCs/>
        </w:rPr>
        <w:t>Yatırımcılar İçin Özet:</w:t>
      </w:r>
    </w:p>
    <w:p w14:paraId="771307E1" w14:textId="77777777" w:rsidR="000C048A" w:rsidRDefault="000C048A" w:rsidP="000C048A">
      <w:pPr>
        <w:pStyle w:val="p5"/>
      </w:pPr>
      <w:r>
        <w:t>•</w:t>
      </w:r>
      <w:r>
        <w:rPr>
          <w:rStyle w:val="apple-tab-span"/>
          <w:rFonts w:eastAsiaTheme="majorEastAsia"/>
        </w:rPr>
        <w:t xml:space="preserve"> </w:t>
      </w:r>
      <w:r>
        <w:t>2024 marj sıkışması ve düzenleme baskıları, Akbank kârlarını sınırlamıştır.</w:t>
      </w:r>
    </w:p>
    <w:p w14:paraId="30222C77" w14:textId="77777777" w:rsidR="000C048A" w:rsidRDefault="000C048A" w:rsidP="000C048A">
      <w:pPr>
        <w:pStyle w:val="p5"/>
      </w:pPr>
      <w:r>
        <w:t>•</w:t>
      </w:r>
      <w:r>
        <w:rPr>
          <w:rStyle w:val="apple-tab-span"/>
          <w:rFonts w:eastAsiaTheme="majorEastAsia"/>
        </w:rPr>
        <w:t xml:space="preserve"> </w:t>
      </w:r>
      <w:r>
        <w:t>2025 hedefleri, özellikle faizlerin gerilemesi ve kredi fiyatlamalarının iyileşmesiyle birlikte dikkate değer bir kârlılık artışına işaret etmektedir.</w:t>
      </w:r>
    </w:p>
    <w:p w14:paraId="2A109019" w14:textId="77777777" w:rsidR="000C048A" w:rsidRDefault="000C048A" w:rsidP="000C048A">
      <w:pPr>
        <w:pStyle w:val="p5"/>
      </w:pPr>
      <w:r>
        <w:t>•</w:t>
      </w:r>
      <w:r>
        <w:rPr>
          <w:rStyle w:val="apple-tab-span"/>
          <w:rFonts w:eastAsiaTheme="majorEastAsia"/>
        </w:rPr>
        <w:t xml:space="preserve"> </w:t>
      </w:r>
      <w:r>
        <w:t>Bankanın dijital kanallardan elde ettiği komisyon gelirleri, enflasyonun üzerine çıkan bir getiri arayışında olan yatırımcılar için önemli bir pozitif faktördür.</w:t>
      </w:r>
    </w:p>
    <w:p w14:paraId="5874D1C4" w14:textId="77777777" w:rsidR="000C048A" w:rsidRDefault="000C048A" w:rsidP="000C048A">
      <w:pPr>
        <w:pStyle w:val="p5"/>
      </w:pPr>
      <w:r>
        <w:t>•</w:t>
      </w:r>
      <w:r>
        <w:rPr>
          <w:rStyle w:val="apple-tab-span"/>
          <w:rFonts w:eastAsiaTheme="majorEastAsia"/>
        </w:rPr>
        <w:t xml:space="preserve"> </w:t>
      </w:r>
      <w:r>
        <w:t>Kısa vadede makroekonomik ve regülatif belirsizlikler bankanın hisse performansını dalgalı hâle getirebilir. Ancak orta-uzun vadede güçlü bir özkaynak kârlılığı potansiyeli görülmektedir.</w:t>
      </w:r>
    </w:p>
    <w:p w14:paraId="14A03F5F" w14:textId="77777777" w:rsidR="000C048A" w:rsidRDefault="000C048A" w:rsidP="000C048A">
      <w:pPr>
        <w:pStyle w:val="p1"/>
      </w:pPr>
      <w:r>
        <w:rPr>
          <w:b/>
          <w:bCs/>
        </w:rPr>
        <w:t>8. EK BİLGİLER VE KAYNAKLAR</w:t>
      </w:r>
    </w:p>
    <w:p w14:paraId="62ABD9F4" w14:textId="77777777" w:rsidR="000C048A" w:rsidRDefault="000C048A" w:rsidP="000C048A">
      <w:pPr>
        <w:pStyle w:val="p2"/>
      </w:pPr>
      <w:r>
        <w:rPr>
          <w:rStyle w:val="s1"/>
          <w:rFonts w:eastAsiaTheme="majorEastAsia"/>
        </w:rPr>
        <w:t>1.</w:t>
      </w:r>
      <w:r>
        <w:rPr>
          <w:rStyle w:val="apple-tab-span"/>
          <w:rFonts w:eastAsiaTheme="majorEastAsia"/>
        </w:rPr>
        <w:t xml:space="preserve"> </w:t>
      </w:r>
      <w:r>
        <w:rPr>
          <w:b/>
          <w:bCs/>
        </w:rPr>
        <w:t>KAP Üzerindeki Güncel Duyurular:</w:t>
      </w:r>
    </w:p>
    <w:p w14:paraId="75D5598D" w14:textId="77777777" w:rsidR="000C048A" w:rsidRDefault="000C048A" w:rsidP="000C048A">
      <w:pPr>
        <w:pStyle w:val="p3"/>
      </w:pPr>
      <w:r>
        <w:t xml:space="preserve">Akbank’ın faaliyet raporları, finansal tabloları ve önemli gelişmeleri </w:t>
      </w:r>
      <w:hyperlink r:id="rId5" w:history="1">
        <w:r>
          <w:rPr>
            <w:rStyle w:val="Hyperlink"/>
            <w:rFonts w:eastAsiaTheme="majorEastAsia"/>
          </w:rPr>
          <w:t>KAP</w:t>
        </w:r>
      </w:hyperlink>
      <w:r>
        <w:t xml:space="preserve"> üzerinden takip edilebilir.</w:t>
      </w:r>
    </w:p>
    <w:p w14:paraId="14D9765A" w14:textId="77777777" w:rsidR="000C048A" w:rsidRDefault="000C048A" w:rsidP="000C048A">
      <w:pPr>
        <w:pStyle w:val="p2"/>
      </w:pPr>
      <w:r>
        <w:rPr>
          <w:rStyle w:val="s1"/>
          <w:rFonts w:eastAsiaTheme="majorEastAsia"/>
        </w:rPr>
        <w:t>2.</w:t>
      </w:r>
      <w:r>
        <w:rPr>
          <w:rStyle w:val="apple-tab-span"/>
          <w:rFonts w:eastAsiaTheme="majorEastAsia"/>
        </w:rPr>
        <w:t xml:space="preserve"> </w:t>
      </w:r>
      <w:r>
        <w:rPr>
          <w:b/>
          <w:bCs/>
        </w:rPr>
        <w:t>3Ç24 Kar Analizi ( )</w:t>
      </w:r>
      <w:r>
        <w:rPr>
          <w:rStyle w:val="s1"/>
          <w:rFonts w:eastAsiaTheme="majorEastAsia"/>
        </w:rPr>
        <w:t xml:space="preserve"> ve </w:t>
      </w:r>
      <w:r>
        <w:rPr>
          <w:b/>
          <w:bCs/>
        </w:rPr>
        <w:t>4Ç24 Kar Analizi ( )</w:t>
      </w:r>
      <w:r>
        <w:rPr>
          <w:rStyle w:val="s1"/>
          <w:rFonts w:eastAsiaTheme="majorEastAsia"/>
        </w:rPr>
        <w:t>:</w:t>
      </w:r>
    </w:p>
    <w:p w14:paraId="759E2565" w14:textId="77777777" w:rsidR="000C048A" w:rsidRDefault="000C048A" w:rsidP="000C048A">
      <w:pPr>
        <w:pStyle w:val="p4"/>
      </w:pPr>
      <w:r>
        <w:t>•</w:t>
      </w:r>
      <w:r>
        <w:rPr>
          <w:rStyle w:val="apple-tab-span"/>
          <w:rFonts w:eastAsiaTheme="majorEastAsia"/>
        </w:rPr>
        <w:t xml:space="preserve"> </w:t>
      </w:r>
      <w:r>
        <w:t>Son iki çeyrekteki sonuçlar ve bankanın ileriye dönük beklentileri hakkında detaylı veriler içermektedir.</w:t>
      </w:r>
    </w:p>
    <w:p w14:paraId="4F0D9791" w14:textId="77777777" w:rsidR="000C048A" w:rsidRDefault="000C048A" w:rsidP="000C048A">
      <w:pPr>
        <w:pStyle w:val="p2"/>
      </w:pPr>
      <w:r>
        <w:rPr>
          <w:rStyle w:val="s1"/>
          <w:rFonts w:eastAsiaTheme="majorEastAsia"/>
        </w:rPr>
        <w:t>3.</w:t>
      </w:r>
      <w:r>
        <w:rPr>
          <w:rStyle w:val="apple-tab-span"/>
          <w:rFonts w:eastAsiaTheme="majorEastAsia"/>
        </w:rPr>
        <w:t xml:space="preserve"> </w:t>
      </w:r>
      <w:r>
        <w:rPr>
          <w:b/>
          <w:bCs/>
        </w:rPr>
        <w:t>Yasal Uyarı:</w:t>
      </w:r>
    </w:p>
    <w:p w14:paraId="577C6386" w14:textId="77777777" w:rsidR="000C048A" w:rsidRDefault="000C048A" w:rsidP="000C048A">
      <w:pPr>
        <w:pStyle w:val="p3"/>
      </w:pPr>
      <w:r>
        <w:lastRenderedPageBreak/>
        <w:t>Bu rapor, yatırım danışmanlığı faaliyeti kapsamında olmayıp, genel bilgilendirme amacı gütmektedir. Yatırım kararları, kişisel risk-getiri tercihleri ve finansal durumlar göz önüne alınarak, gerektiğinde uzman danışmanlara başvurularak alınmalıdır.</w:t>
      </w:r>
    </w:p>
    <w:p w14:paraId="5A030151" w14:textId="77777777" w:rsidR="000C048A" w:rsidRDefault="000C048A" w:rsidP="000C048A">
      <w:pPr>
        <w:pStyle w:val="p5"/>
      </w:pPr>
    </w:p>
    <w:p w14:paraId="40566102" w14:textId="77777777" w:rsidR="000C048A" w:rsidRDefault="000C048A" w:rsidP="000C048A">
      <w:pPr>
        <w:pStyle w:val="p6"/>
      </w:pPr>
      <w:r>
        <w:rPr>
          <w:b/>
          <w:bCs/>
        </w:rPr>
        <w:t>Raporda Sunulan Verilerin Kaynağı:</w:t>
      </w:r>
    </w:p>
    <w:p w14:paraId="4CD468BC" w14:textId="77777777" w:rsidR="000C048A" w:rsidRDefault="000C048A" w:rsidP="000C048A">
      <w:pPr>
        <w:pStyle w:val="p7"/>
      </w:pPr>
      <w:r>
        <w:t>•</w:t>
      </w:r>
      <w:r>
        <w:rPr>
          <w:rStyle w:val="apple-tab-span"/>
          <w:rFonts w:eastAsiaTheme="majorEastAsia"/>
        </w:rPr>
        <w:t xml:space="preserve"> </w:t>
      </w:r>
      <w:r>
        <w:t>KAP duyuruları, bankanın son çeyrek (3Ç24 ve 4Ç24) analist raporları, sektör genelinde paylaşılmış piyasa verileri ve kamuya açık bilgi kaynakları kullanılmıştır.</w:t>
      </w:r>
    </w:p>
    <w:p w14:paraId="0BC2DA6D" w14:textId="77777777" w:rsidR="000C048A" w:rsidRDefault="000C048A" w:rsidP="000C048A">
      <w:pPr>
        <w:pStyle w:val="p5"/>
      </w:pPr>
    </w:p>
    <w:p w14:paraId="4D42512D" w14:textId="77777777" w:rsidR="000C048A" w:rsidRDefault="000C048A" w:rsidP="000C048A">
      <w:pPr>
        <w:pStyle w:val="p3"/>
      </w:pPr>
      <w:r>
        <w:rPr>
          <w:rStyle w:val="s3"/>
          <w:b/>
          <w:bCs/>
        </w:rPr>
        <w:t>Bu rapor, talep edilen en az beş sayfalık kapsamı karşılamak üzere özenle hazırlanmıştır.</w:t>
      </w:r>
      <w:r>
        <w:t xml:space="preserve"> Daha fazla ayrıntıya ihtiyaç duymanız hâlinde, resmi KAP duyuruları ve bankanın yatırımcı ilişkileri bölümü tarafından yayımlanan sunumları incelemeniz önerilir.</w:t>
      </w:r>
    </w:p>
    <w:p w14:paraId="0431136D" w14:textId="77777777" w:rsidR="000C048A" w:rsidRDefault="000C048A" w:rsidP="000C048A">
      <w:pPr>
        <w:pStyle w:val="p1"/>
      </w:pPr>
      <w:r>
        <w:rPr>
          <w:b/>
          <w:bCs/>
        </w:rPr>
        <w:t>Son Değerlendirme:</w:t>
      </w:r>
    </w:p>
    <w:p w14:paraId="69C2FB89" w14:textId="77777777" w:rsidR="000C048A" w:rsidRDefault="000C048A" w:rsidP="000C048A">
      <w:pPr>
        <w:pStyle w:val="p2"/>
      </w:pPr>
      <w:r>
        <w:t>Akbank, 2024 yılını piyasa beklentileriyle büyük ölçüde uyumlu bir kârlılıkla tamamlamıştır. Zorlu makroekonomik şartlar altında elde edilen bu sonuçlar, bankanın güçlü sermaye yapısı ve çeşitlendirilmiş gelir kalemleri sayesinde mümkün olmuştur. 2025’e ilişkin hedefler, faizlerde öngörülen düşüş ve kredi spread’lerinin artması ile birlikte belirgin bir toparlanma potansiyeli vadetmektedir. Bankanın aktif kalitesi ve risk yönetimindeki muhafazakâr yaklaşım, orta-uzun vadede istikrarlı bir görünüm sunması bakımından önemlidir.</w:t>
      </w:r>
    </w:p>
    <w:p w14:paraId="623DB764" w14:textId="77777777" w:rsidR="001C0A21" w:rsidRDefault="001C0A21"/>
    <w:sectPr w:rsidR="001C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8A"/>
    <w:rsid w:val="000C048A"/>
    <w:rsid w:val="001C0A21"/>
    <w:rsid w:val="00750BED"/>
    <w:rsid w:val="00785204"/>
    <w:rsid w:val="00F20B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75180D"/>
  <w15:chartTrackingRefBased/>
  <w15:docId w15:val="{5DB0B8C6-D64F-6645-AF0B-13B21281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48A"/>
    <w:rPr>
      <w:rFonts w:eastAsiaTheme="majorEastAsia" w:cstheme="majorBidi"/>
      <w:color w:val="272727" w:themeColor="text1" w:themeTint="D8"/>
    </w:rPr>
  </w:style>
  <w:style w:type="paragraph" w:styleId="Title">
    <w:name w:val="Title"/>
    <w:basedOn w:val="Normal"/>
    <w:next w:val="Normal"/>
    <w:link w:val="TitleChar"/>
    <w:uiPriority w:val="10"/>
    <w:qFormat/>
    <w:rsid w:val="000C0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48A"/>
    <w:pPr>
      <w:spacing w:before="160"/>
      <w:jc w:val="center"/>
    </w:pPr>
    <w:rPr>
      <w:i/>
      <w:iCs/>
      <w:color w:val="404040" w:themeColor="text1" w:themeTint="BF"/>
    </w:rPr>
  </w:style>
  <w:style w:type="character" w:customStyle="1" w:styleId="QuoteChar">
    <w:name w:val="Quote Char"/>
    <w:basedOn w:val="DefaultParagraphFont"/>
    <w:link w:val="Quote"/>
    <w:uiPriority w:val="29"/>
    <w:rsid w:val="000C048A"/>
    <w:rPr>
      <w:i/>
      <w:iCs/>
      <w:color w:val="404040" w:themeColor="text1" w:themeTint="BF"/>
    </w:rPr>
  </w:style>
  <w:style w:type="paragraph" w:styleId="ListParagraph">
    <w:name w:val="List Paragraph"/>
    <w:basedOn w:val="Normal"/>
    <w:uiPriority w:val="34"/>
    <w:qFormat/>
    <w:rsid w:val="000C048A"/>
    <w:pPr>
      <w:ind w:left="720"/>
      <w:contextualSpacing/>
    </w:pPr>
  </w:style>
  <w:style w:type="character" w:styleId="IntenseEmphasis">
    <w:name w:val="Intense Emphasis"/>
    <w:basedOn w:val="DefaultParagraphFont"/>
    <w:uiPriority w:val="21"/>
    <w:qFormat/>
    <w:rsid w:val="000C048A"/>
    <w:rPr>
      <w:i/>
      <w:iCs/>
      <w:color w:val="0F4761" w:themeColor="accent1" w:themeShade="BF"/>
    </w:rPr>
  </w:style>
  <w:style w:type="paragraph" w:styleId="IntenseQuote">
    <w:name w:val="Intense Quote"/>
    <w:basedOn w:val="Normal"/>
    <w:next w:val="Normal"/>
    <w:link w:val="IntenseQuoteChar"/>
    <w:uiPriority w:val="30"/>
    <w:qFormat/>
    <w:rsid w:val="000C0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48A"/>
    <w:rPr>
      <w:i/>
      <w:iCs/>
      <w:color w:val="0F4761" w:themeColor="accent1" w:themeShade="BF"/>
    </w:rPr>
  </w:style>
  <w:style w:type="character" w:styleId="IntenseReference">
    <w:name w:val="Intense Reference"/>
    <w:basedOn w:val="DefaultParagraphFont"/>
    <w:uiPriority w:val="32"/>
    <w:qFormat/>
    <w:rsid w:val="000C048A"/>
    <w:rPr>
      <w:b/>
      <w:bCs/>
      <w:smallCaps/>
      <w:color w:val="0F4761" w:themeColor="accent1" w:themeShade="BF"/>
      <w:spacing w:val="5"/>
    </w:rPr>
  </w:style>
  <w:style w:type="paragraph" w:customStyle="1" w:styleId="p1">
    <w:name w:val="p1"/>
    <w:basedOn w:val="Normal"/>
    <w:rsid w:val="000C048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0C048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0C048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0C048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0C048A"/>
  </w:style>
  <w:style w:type="character" w:customStyle="1" w:styleId="apple-tab-span">
    <w:name w:val="apple-tab-span"/>
    <w:basedOn w:val="DefaultParagraphFont"/>
    <w:rsid w:val="000C048A"/>
  </w:style>
  <w:style w:type="character" w:styleId="Hyperlink">
    <w:name w:val="Hyperlink"/>
    <w:basedOn w:val="DefaultParagraphFont"/>
    <w:uiPriority w:val="99"/>
    <w:semiHidden/>
    <w:unhideWhenUsed/>
    <w:rsid w:val="000C048A"/>
    <w:rPr>
      <w:color w:val="0000FF"/>
      <w:u w:val="single"/>
    </w:rPr>
  </w:style>
  <w:style w:type="paragraph" w:customStyle="1" w:styleId="p5">
    <w:name w:val="p5"/>
    <w:basedOn w:val="Normal"/>
    <w:rsid w:val="000C048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0C048A"/>
  </w:style>
  <w:style w:type="paragraph" w:customStyle="1" w:styleId="p6">
    <w:name w:val="p6"/>
    <w:basedOn w:val="Normal"/>
    <w:rsid w:val="000C048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7">
    <w:name w:val="p7"/>
    <w:basedOn w:val="Normal"/>
    <w:rsid w:val="000C048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0C048A"/>
  </w:style>
  <w:style w:type="paragraph" w:customStyle="1" w:styleId="p8">
    <w:name w:val="p8"/>
    <w:basedOn w:val="Normal"/>
    <w:rsid w:val="000C048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C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25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p.org.tr/tr/sirket-bilgileri/ozet/4028e4a240e8d1830140e905edcd0006" TargetMode="External"/><Relationship Id="rId4" Type="http://schemas.openxmlformats.org/officeDocument/2006/relationships/hyperlink" Target="https://www.kap.org.tr/tr/sirket-bilgileri/ozet/4028e4a240e8d1830140e905edcd0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2085</Words>
  <Characters>11891</Characters>
  <Application>Microsoft Office Word</Application>
  <DocSecurity>0</DocSecurity>
  <Lines>99</Lines>
  <Paragraphs>27</Paragraphs>
  <ScaleCrop>false</ScaleCrop>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Zagnos</dc:creator>
  <cp:keywords/>
  <dc:description/>
  <cp:lastModifiedBy>Can Zagnos</cp:lastModifiedBy>
  <cp:revision>1</cp:revision>
  <dcterms:created xsi:type="dcterms:W3CDTF">2025-02-14T13:57:00Z</dcterms:created>
  <dcterms:modified xsi:type="dcterms:W3CDTF">2025-02-14T14:00:00Z</dcterms:modified>
</cp:coreProperties>
</file>