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A5ACA" w14:textId="77777777" w:rsidR="00997CC3" w:rsidRDefault="00997CC3" w:rsidP="00997CC3">
      <w:pPr>
        <w:pStyle w:val="p1"/>
      </w:pPr>
      <w:r>
        <w:t>Aşağıdaki raporda, Garanti Bankası (BIST: GARAN) hissesine dair son bir yıllık gelişmelerin yanı sıra, gerekli görülürse 5 yıla kadar uzanan finansal ve operasyonel veriler ışığında kapsamlı bir analiz yer almaktadır. Rapor, kullanıcı tarafından paylaşılan iki çeyrek dönem analizi (3Ç24 ve 4Ç24) dokümanları ile KAP (Kamuyu Aydınlatma Platformu) nezdinde yapılan resmi açıklamaları ve genel piyasa verilerini içermektedir. Raporda finansal tabloların temel kalemleri (kâr, marjlar, komisyon gelirleri), bilanço yapısı (aktif kalitesi, risk maliyeti), fonlama maliyetleri, sektör ve makroekonomik faktörler gibi konular değerlendirilmiştir. Rapor yatırım danışmanlığı kapsamında değildir; sadece bilgilendirme amaçlı hazırlanmıştır.</w:t>
      </w:r>
    </w:p>
    <w:p w14:paraId="61C9B127" w14:textId="77777777" w:rsidR="00997CC3" w:rsidRDefault="00997CC3" w:rsidP="00997CC3">
      <w:pPr>
        <w:pStyle w:val="p1"/>
      </w:pPr>
      <w:r>
        <w:rPr>
          <w:b/>
          <w:bCs/>
        </w:rPr>
        <w:t>1. GİRİŞ</w:t>
      </w:r>
    </w:p>
    <w:p w14:paraId="119E00BC" w14:textId="77777777" w:rsidR="00997CC3" w:rsidRDefault="00997CC3" w:rsidP="00997CC3">
      <w:pPr>
        <w:pStyle w:val="p2"/>
      </w:pPr>
    </w:p>
    <w:p w14:paraId="758EDE6C" w14:textId="77777777" w:rsidR="00997CC3" w:rsidRDefault="00997CC3" w:rsidP="00997CC3">
      <w:pPr>
        <w:pStyle w:val="p3"/>
      </w:pPr>
      <w:r>
        <w:t>Garanti Bankası, Türkiye’nin önde gelen özel bankalarından biri olup; geniş ürün yelpazesi, güçlü teknolojik altyapısı ve yaygın şube ağıyla dikkat çekmektedir. Bankanın faaliyetleri perakende bankacılıktan kurumsal bankacılığa, kredi kartlarından yatırım bankacılığı hizmetlerine kadar uzanan geniş bir alanı kapsamaktadır. Son dönemde yüksek faiz ortamı, makroekonomik dalgalanmalar ve düzenleyici otoritenin aldığı kararlar gibi faktörler Garanti Bankası’nın bilançosu ve kârlılık performansı üzerinde belirleyici olmuştur.</w:t>
      </w:r>
    </w:p>
    <w:p w14:paraId="04F7C2EF" w14:textId="77777777" w:rsidR="00997CC3" w:rsidRDefault="00997CC3" w:rsidP="00997CC3">
      <w:pPr>
        <w:pStyle w:val="p4"/>
      </w:pPr>
      <w:r>
        <w:t>•</w:t>
      </w:r>
      <w:r>
        <w:rPr>
          <w:rStyle w:val="apple-tab-span"/>
          <w:rFonts w:eastAsiaTheme="majorEastAsia"/>
        </w:rPr>
        <w:t xml:space="preserve"> </w:t>
      </w:r>
      <w:r>
        <w:rPr>
          <w:rStyle w:val="s1"/>
          <w:rFonts w:eastAsiaTheme="majorEastAsia"/>
          <w:b/>
          <w:bCs/>
        </w:rPr>
        <w:t>Ana Bilgi Kaynağı:</w:t>
      </w:r>
      <w:r>
        <w:t xml:space="preserve"> </w:t>
      </w:r>
      <w:hyperlink r:id="rId4" w:history="1">
        <w:r>
          <w:rPr>
            <w:rStyle w:val="Hyperlink"/>
            <w:rFonts w:eastAsiaTheme="majorEastAsia"/>
          </w:rPr>
          <w:t>KAP resmi sayfası</w:t>
        </w:r>
      </w:hyperlink>
    </w:p>
    <w:p w14:paraId="2FFDFB4E" w14:textId="77777777" w:rsidR="00997CC3" w:rsidRDefault="00997CC3" w:rsidP="00997CC3">
      <w:pPr>
        <w:pStyle w:val="p5"/>
      </w:pPr>
      <w:r>
        <w:rPr>
          <w:rStyle w:val="s2"/>
          <w:rFonts w:eastAsiaTheme="majorEastAsia"/>
        </w:rPr>
        <w:t>•</w:t>
      </w:r>
      <w:r>
        <w:rPr>
          <w:rStyle w:val="apple-tab-span"/>
          <w:rFonts w:eastAsiaTheme="majorEastAsia"/>
        </w:rPr>
        <w:t xml:space="preserve"> </w:t>
      </w:r>
      <w:r>
        <w:rPr>
          <w:b/>
          <w:bCs/>
        </w:rPr>
        <w:t>Ek Dokümanlar:</w:t>
      </w:r>
    </w:p>
    <w:p w14:paraId="3D9EA6D1" w14:textId="77777777" w:rsidR="00997CC3" w:rsidRDefault="00997CC3" w:rsidP="00997CC3">
      <w:pPr>
        <w:pStyle w:val="p6"/>
      </w:pPr>
      <w:r>
        <w:t>•</w:t>
      </w:r>
      <w:r>
        <w:rPr>
          <w:rStyle w:val="apple-tab-span"/>
          <w:rFonts w:eastAsiaTheme="majorEastAsia"/>
        </w:rPr>
        <w:t xml:space="preserve"> </w:t>
      </w:r>
      <w:r>
        <w:t>Garanti Bankası 3Ç24 Kar Analizi ( )</w:t>
      </w:r>
    </w:p>
    <w:p w14:paraId="0A7284B5" w14:textId="77777777" w:rsidR="00997CC3" w:rsidRDefault="00997CC3" w:rsidP="00997CC3">
      <w:pPr>
        <w:pStyle w:val="p6"/>
      </w:pPr>
      <w:r>
        <w:t>•</w:t>
      </w:r>
      <w:r>
        <w:rPr>
          <w:rStyle w:val="apple-tab-span"/>
          <w:rFonts w:eastAsiaTheme="majorEastAsia"/>
        </w:rPr>
        <w:t xml:space="preserve"> </w:t>
      </w:r>
      <w:r>
        <w:t>Garanti Bankası 4Ç24 Kar Analizi ( )</w:t>
      </w:r>
    </w:p>
    <w:p w14:paraId="6659D2FE" w14:textId="77777777" w:rsidR="00997CC3" w:rsidRDefault="00997CC3" w:rsidP="00997CC3">
      <w:pPr>
        <w:pStyle w:val="p2"/>
      </w:pPr>
    </w:p>
    <w:p w14:paraId="1F003FCE" w14:textId="77777777" w:rsidR="00997CC3" w:rsidRDefault="00997CC3" w:rsidP="00997CC3">
      <w:pPr>
        <w:pStyle w:val="p3"/>
      </w:pPr>
      <w:r>
        <w:t>Bu rapor, kullanıcının talebine uygun olarak en az beş sayfa uzunluğunda ve mümkün olduğunca kapsamlı olacak biçimde hazırlanmıştır. İlk bölümde son bir yıllık gelişmeler ele alınacak, bunun yeterli görülmediği noktalarda son beş yıllık trende de değinilecektir.</w:t>
      </w:r>
    </w:p>
    <w:p w14:paraId="679C7A08" w14:textId="77777777" w:rsidR="00997CC3" w:rsidRDefault="00997CC3" w:rsidP="00997CC3">
      <w:pPr>
        <w:pStyle w:val="p1"/>
      </w:pPr>
      <w:r>
        <w:rPr>
          <w:b/>
          <w:bCs/>
        </w:rPr>
        <w:t>2. SON BİR YILLIK DÖNEMDE ÖNE ÇIKAN GELİŞMELER</w:t>
      </w:r>
    </w:p>
    <w:p w14:paraId="79026795" w14:textId="77777777" w:rsidR="00997CC3" w:rsidRDefault="00997CC3" w:rsidP="00997CC3">
      <w:pPr>
        <w:pStyle w:val="p2"/>
      </w:pPr>
    </w:p>
    <w:p w14:paraId="6C4CC7CC" w14:textId="77777777" w:rsidR="00997CC3" w:rsidRDefault="00997CC3" w:rsidP="00997CC3">
      <w:pPr>
        <w:pStyle w:val="p3"/>
      </w:pPr>
      <w:r>
        <w:rPr>
          <w:b/>
          <w:bCs/>
        </w:rPr>
        <w:t>2.1. Faiz Ortamı ve Bankacılık Sektörüne Etkileri</w:t>
      </w:r>
    </w:p>
    <w:p w14:paraId="5899C2F0" w14:textId="77777777" w:rsidR="00997CC3" w:rsidRDefault="00997CC3" w:rsidP="00997CC3">
      <w:pPr>
        <w:pStyle w:val="p2"/>
      </w:pPr>
    </w:p>
    <w:p w14:paraId="1DD84556" w14:textId="77777777" w:rsidR="00997CC3" w:rsidRDefault="00997CC3" w:rsidP="00997CC3">
      <w:pPr>
        <w:pStyle w:val="p4"/>
      </w:pPr>
      <w:r>
        <w:t>Son bir yılda Türkiye’de faiz hadleri önemli ölçüde yükselmiş; bu durum bankacılık sektöründe özellikle fonlama maliyetleri üzerinden etkisini göstermiştir. Garanti Bankası da bu süreçte mevduat faizlerinde artış, munzam karşılık oranlarında düzenlemeler ve menkul kıymet yükümlülükleri gibi çeşitli düzenleyici faktörlerle karşılaşmıştır.</w:t>
      </w:r>
    </w:p>
    <w:p w14:paraId="0CE8A70C" w14:textId="77777777" w:rsidR="00997CC3" w:rsidRDefault="00997CC3" w:rsidP="00997CC3">
      <w:pPr>
        <w:pStyle w:val="p5"/>
      </w:pPr>
      <w:r>
        <w:rPr>
          <w:rStyle w:val="s1"/>
          <w:rFonts w:eastAsiaTheme="majorEastAsia"/>
        </w:rPr>
        <w:lastRenderedPageBreak/>
        <w:t>•</w:t>
      </w:r>
      <w:r>
        <w:rPr>
          <w:rStyle w:val="apple-tab-span"/>
          <w:rFonts w:eastAsiaTheme="majorEastAsia"/>
        </w:rPr>
        <w:t xml:space="preserve"> </w:t>
      </w:r>
      <w:r>
        <w:rPr>
          <w:b/>
          <w:bCs/>
        </w:rPr>
        <w:t>Swap Maliyetleri ve Marjlar:</w:t>
      </w:r>
    </w:p>
    <w:p w14:paraId="545D30AE" w14:textId="77777777" w:rsidR="00997CC3" w:rsidRDefault="00997CC3" w:rsidP="00997CC3">
      <w:pPr>
        <w:pStyle w:val="p4"/>
      </w:pPr>
      <w:r>
        <w:t>Garanti Bankası, üçüncü ve dördüncü çeyreklerde artan swap maliyetlerine rağmen çekirdek marjlarını korumayı, hatta dönem dönem iyileştirmeyi başarmıştır. 3Ç24’te swaplara göre düzeltilmiş net faiz marjı çeyreksel bazda 65 baz puan artmış ve %3.44 seviyesine yükselmiştir ( ). 4Ç24’te ise bu rakam %4.3 düzeyine çıkmıştır ( ). Banka yönetimi, marjlardaki iyileşmede TÜFE’ye endeksli menkul kıymet (TÜFEX) gelirlerinin artmasının ve KKM (Kur Korumalı Mevduat) dönüşümlerinden elde edilen gelirlerin önemine işaret etmektedir.</w:t>
      </w:r>
    </w:p>
    <w:p w14:paraId="16215B54" w14:textId="77777777" w:rsidR="00997CC3" w:rsidRDefault="00997CC3" w:rsidP="00997CC3">
      <w:pPr>
        <w:pStyle w:val="p2"/>
      </w:pPr>
    </w:p>
    <w:p w14:paraId="18B9705F" w14:textId="77777777" w:rsidR="00997CC3" w:rsidRDefault="00997CC3" w:rsidP="00997CC3">
      <w:pPr>
        <w:pStyle w:val="p3"/>
      </w:pPr>
      <w:r>
        <w:rPr>
          <w:b/>
          <w:bCs/>
        </w:rPr>
        <w:t>2.2. Kredi ve Mevduat Büyümesi</w:t>
      </w:r>
    </w:p>
    <w:p w14:paraId="1D18B199" w14:textId="77777777" w:rsidR="00997CC3" w:rsidRDefault="00997CC3" w:rsidP="00997CC3">
      <w:pPr>
        <w:pStyle w:val="p5"/>
      </w:pPr>
      <w:r>
        <w:rPr>
          <w:rStyle w:val="s1"/>
          <w:rFonts w:eastAsiaTheme="majorEastAsia"/>
        </w:rPr>
        <w:t>•</w:t>
      </w:r>
      <w:r>
        <w:rPr>
          <w:rStyle w:val="apple-tab-span"/>
          <w:rFonts w:eastAsiaTheme="majorEastAsia"/>
        </w:rPr>
        <w:t xml:space="preserve"> </w:t>
      </w:r>
      <w:r>
        <w:rPr>
          <w:b/>
          <w:bCs/>
        </w:rPr>
        <w:t>TL Krediler:</w:t>
      </w:r>
    </w:p>
    <w:p w14:paraId="57620030" w14:textId="77777777" w:rsidR="00997CC3" w:rsidRDefault="00997CC3" w:rsidP="00997CC3">
      <w:pPr>
        <w:pStyle w:val="p4"/>
      </w:pPr>
      <w:r>
        <w:t>Son bir yılda özellikle tüketici kredileri ve kredi kartları alanında belirgin bir büyüme kaydedilmiştir. 3Ç24 itibarıyla TL krediler çeyreksel bazda %8 artarken, 4Ç24’te bu oran %11 seviyesine yükselmiştir. Diğer yandan, döviz kredileri üçüncü çeyrekte dolar bazında %7 artış gösterirken son çeyrekte kimi dönemde yatay bir seyir izlemiştir ( ;</w:t>
      </w:r>
      <w:r>
        <w:rPr>
          <w:rStyle w:val="apple-converted-space"/>
        </w:rPr>
        <w:t xml:space="preserve">  </w:t>
      </w:r>
      <w:r>
        <w:t>).</w:t>
      </w:r>
    </w:p>
    <w:p w14:paraId="65AE27D2" w14:textId="77777777" w:rsidR="00997CC3" w:rsidRDefault="00997CC3" w:rsidP="00997CC3">
      <w:pPr>
        <w:pStyle w:val="p5"/>
      </w:pPr>
      <w:r>
        <w:rPr>
          <w:rStyle w:val="s1"/>
          <w:rFonts w:eastAsiaTheme="majorEastAsia"/>
        </w:rPr>
        <w:t>•</w:t>
      </w:r>
      <w:r>
        <w:rPr>
          <w:rStyle w:val="apple-tab-span"/>
          <w:rFonts w:eastAsiaTheme="majorEastAsia"/>
        </w:rPr>
        <w:t xml:space="preserve"> </w:t>
      </w:r>
      <w:r>
        <w:rPr>
          <w:b/>
          <w:bCs/>
        </w:rPr>
        <w:t>Fonlama (Mevduatlar vs. Menkul Kıymet İhracı):</w:t>
      </w:r>
    </w:p>
    <w:p w14:paraId="653AA331" w14:textId="77777777" w:rsidR="00997CC3" w:rsidRDefault="00997CC3" w:rsidP="00997CC3">
      <w:pPr>
        <w:pStyle w:val="p4"/>
      </w:pPr>
      <w:r>
        <w:t>Yüksek faiz ortamında bankanın fonlama maliyetleri artış eğilimi göstermiştir. Ancak Garanti, uzun süredir mevduat tabanını güçlendirmeye yönelik strateji izlemektedir. Ayrıca KKM (Kur Korumalı Mevduat) ürününün görece düşük maliyetli fonlama imkânı sunması, bankanın net faiz marjına olumlu katkı yapmıştır.</w:t>
      </w:r>
    </w:p>
    <w:p w14:paraId="15936AF7" w14:textId="77777777" w:rsidR="00997CC3" w:rsidRDefault="00997CC3" w:rsidP="00997CC3">
      <w:pPr>
        <w:pStyle w:val="p2"/>
      </w:pPr>
    </w:p>
    <w:p w14:paraId="537B493D" w14:textId="77777777" w:rsidR="00997CC3" w:rsidRDefault="00997CC3" w:rsidP="00997CC3">
      <w:pPr>
        <w:pStyle w:val="p3"/>
      </w:pPr>
      <w:r>
        <w:rPr>
          <w:b/>
          <w:bCs/>
        </w:rPr>
        <w:t>2.3. Net Ücret ve Komisyon Gelirleri</w:t>
      </w:r>
    </w:p>
    <w:p w14:paraId="3BB59C40" w14:textId="77777777" w:rsidR="00997CC3" w:rsidRDefault="00997CC3" w:rsidP="00997CC3">
      <w:pPr>
        <w:pStyle w:val="p5"/>
      </w:pPr>
      <w:r>
        <w:rPr>
          <w:rStyle w:val="s1"/>
          <w:rFonts w:eastAsiaTheme="majorEastAsia"/>
        </w:rPr>
        <w:t>•</w:t>
      </w:r>
      <w:r>
        <w:rPr>
          <w:rStyle w:val="apple-tab-span"/>
          <w:rFonts w:eastAsiaTheme="majorEastAsia"/>
        </w:rPr>
        <w:t xml:space="preserve"> </w:t>
      </w:r>
      <w:r>
        <w:rPr>
          <w:b/>
          <w:bCs/>
        </w:rPr>
        <w:t>Yıllık ve Çeyreklik Büyüme:</w:t>
      </w:r>
    </w:p>
    <w:p w14:paraId="41381D17" w14:textId="77777777" w:rsidR="00997CC3" w:rsidRDefault="00997CC3" w:rsidP="00997CC3">
      <w:pPr>
        <w:pStyle w:val="p4"/>
      </w:pPr>
      <w:r>
        <w:t>Garanti Bankası son dönemde ücret ve komisyon gelirlerinde çarpıcı artışlar yakalamıştır. 3Ç24’te komisyon gelirleri çeyreksel %18, yıllık %168; 4Ç24’te ise çeyreksel %12, yıllık %131 artış göstermiştir ( ;</w:t>
      </w:r>
      <w:r>
        <w:rPr>
          <w:rStyle w:val="apple-converted-space"/>
        </w:rPr>
        <w:t xml:space="preserve">  </w:t>
      </w:r>
      <w:r>
        <w:t>). Bu durum, bankanın kredi kartları (bonus ve taksitli kartlar gibi), POS hizmetleri ve dijital kanallar üzerinden elde ettiği komisyon gelirlerinin güçlü olduğunu göstermektedir. Ayrıca, faiz gelirlerinin baskılandığı dönemlerde komisyon gelirleri bankanın kârlılığını destekleyen en önemli kalem olarak öne çıkmaktadır.</w:t>
      </w:r>
    </w:p>
    <w:p w14:paraId="20C0CD08" w14:textId="77777777" w:rsidR="00997CC3" w:rsidRDefault="00997CC3" w:rsidP="00997CC3">
      <w:pPr>
        <w:pStyle w:val="p2"/>
      </w:pPr>
    </w:p>
    <w:p w14:paraId="1F865EEF" w14:textId="77777777" w:rsidR="00997CC3" w:rsidRDefault="00997CC3" w:rsidP="00997CC3">
      <w:pPr>
        <w:pStyle w:val="p3"/>
      </w:pPr>
      <w:r>
        <w:rPr>
          <w:b/>
          <w:bCs/>
        </w:rPr>
        <w:t>2.4. Aktif Kalitesi ve Takipteki Krediler</w:t>
      </w:r>
    </w:p>
    <w:p w14:paraId="00F4C50E" w14:textId="77777777" w:rsidR="00997CC3" w:rsidRDefault="00997CC3" w:rsidP="00997CC3">
      <w:pPr>
        <w:pStyle w:val="p5"/>
      </w:pPr>
      <w:r>
        <w:rPr>
          <w:rStyle w:val="s1"/>
          <w:rFonts w:eastAsiaTheme="majorEastAsia"/>
        </w:rPr>
        <w:t>•</w:t>
      </w:r>
      <w:r>
        <w:rPr>
          <w:rStyle w:val="apple-tab-span"/>
          <w:rFonts w:eastAsiaTheme="majorEastAsia"/>
        </w:rPr>
        <w:t xml:space="preserve"> </w:t>
      </w:r>
      <w:r>
        <w:rPr>
          <w:b/>
          <w:bCs/>
        </w:rPr>
        <w:t>Takibe Atılan Kredilerde Artış:</w:t>
      </w:r>
    </w:p>
    <w:p w14:paraId="49384F7A" w14:textId="77777777" w:rsidR="00997CC3" w:rsidRDefault="00997CC3" w:rsidP="00997CC3">
      <w:pPr>
        <w:pStyle w:val="p4"/>
      </w:pPr>
      <w:r>
        <w:lastRenderedPageBreak/>
        <w:t>3Ç24 ve 4Ç24 raporlarına göre, takibe düşen kredilerde “normalleşme” olarak adlandırılan bir artış eğilimi gözlemlenmiştir. Örneğin, 3Ç24’te tahsilat sonrası takibe atılan krediler TL 8 milyar düzeyinde iken ( ), 4Ç24’te bu rakam TL 9 milyara ulaşmıştır ( ). Yine de bu durum banka tarafından beklenen bir gelişme olarak yorumlanmaktadır.</w:t>
      </w:r>
    </w:p>
    <w:p w14:paraId="104DC74D" w14:textId="77777777" w:rsidR="00997CC3" w:rsidRDefault="00997CC3" w:rsidP="00997CC3">
      <w:pPr>
        <w:pStyle w:val="p5"/>
      </w:pPr>
      <w:r>
        <w:rPr>
          <w:rStyle w:val="s1"/>
          <w:rFonts w:eastAsiaTheme="majorEastAsia"/>
        </w:rPr>
        <w:t>•</w:t>
      </w:r>
      <w:r>
        <w:rPr>
          <w:rStyle w:val="apple-tab-span"/>
          <w:rFonts w:eastAsiaTheme="majorEastAsia"/>
        </w:rPr>
        <w:t xml:space="preserve"> </w:t>
      </w:r>
      <w:r>
        <w:rPr>
          <w:b/>
          <w:bCs/>
        </w:rPr>
        <w:t>Tahsilatlar ve Portföy Satışları:</w:t>
      </w:r>
    </w:p>
    <w:p w14:paraId="12E39AF5" w14:textId="77777777" w:rsidR="00997CC3" w:rsidRDefault="00997CC3" w:rsidP="00997CC3">
      <w:pPr>
        <w:pStyle w:val="p4"/>
      </w:pPr>
      <w:r>
        <w:t>Garanti Bankası, yakından izlediği takipteki kredilerin bir kısmını başarılı tahsilatlar ve varlık yönetimi şirketlerine portföy satışı yoluyla azaltabilmektedir. Nitekim 3Ç24’te TL 5.9 milyar, 4Ç24’te ise TL 10 milyar tutarında takipteki alacak satışı yapılarak önemli ölçüde nakit girişi ve aynı zamanda kârlılığa katkı elde edilmiştir. Bu durum risk maliyetini düşürmüş, aktif kalitesinin korunmasını sağlamıştır.</w:t>
      </w:r>
    </w:p>
    <w:p w14:paraId="40BC7582" w14:textId="77777777" w:rsidR="00997CC3" w:rsidRDefault="00997CC3" w:rsidP="00997CC3">
      <w:pPr>
        <w:pStyle w:val="p5"/>
      </w:pPr>
      <w:r>
        <w:rPr>
          <w:rStyle w:val="s1"/>
          <w:rFonts w:eastAsiaTheme="majorEastAsia"/>
        </w:rPr>
        <w:t>•</w:t>
      </w:r>
      <w:r>
        <w:rPr>
          <w:rStyle w:val="apple-tab-span"/>
          <w:rFonts w:eastAsiaTheme="majorEastAsia"/>
        </w:rPr>
        <w:t xml:space="preserve"> </w:t>
      </w:r>
      <w:r>
        <w:rPr>
          <w:b/>
          <w:bCs/>
        </w:rPr>
        <w:t>Risk Maliyeti:</w:t>
      </w:r>
    </w:p>
    <w:p w14:paraId="18F4C12A" w14:textId="77777777" w:rsidR="00997CC3" w:rsidRDefault="00997CC3" w:rsidP="00997CC3">
      <w:pPr>
        <w:pStyle w:val="p4"/>
      </w:pPr>
      <w:r>
        <w:t>Bankanın muhafazakâr yaklaşımı sayesinde 2024 yılında kur etkisi hariç risk maliyeti, hedeflenen 125 baz puanın altında kalmıştır. Örneğin 3Ç24 itibarıyla kur harici net risk maliyeti 103 baz puan, 4Ç24’te 89 baz puan olarak gerçekleşmiştir ( ;</w:t>
      </w:r>
      <w:r>
        <w:rPr>
          <w:rStyle w:val="apple-converted-space"/>
        </w:rPr>
        <w:t xml:space="preserve">  </w:t>
      </w:r>
      <w:r>
        <w:t>).</w:t>
      </w:r>
    </w:p>
    <w:p w14:paraId="00A31FEF" w14:textId="77777777" w:rsidR="00997CC3" w:rsidRDefault="00997CC3" w:rsidP="00997CC3">
      <w:pPr>
        <w:pStyle w:val="p2"/>
      </w:pPr>
    </w:p>
    <w:p w14:paraId="0D0CC5BB" w14:textId="77777777" w:rsidR="00997CC3" w:rsidRDefault="00997CC3" w:rsidP="00997CC3">
      <w:pPr>
        <w:pStyle w:val="p3"/>
      </w:pPr>
      <w:r>
        <w:rPr>
          <w:b/>
          <w:bCs/>
        </w:rPr>
        <w:t>2.5. Son Dönem Net Kâr Rakamları</w:t>
      </w:r>
    </w:p>
    <w:p w14:paraId="3E0A495D" w14:textId="77777777" w:rsidR="00997CC3" w:rsidRDefault="00997CC3" w:rsidP="00997CC3">
      <w:pPr>
        <w:pStyle w:val="p6"/>
      </w:pPr>
      <w:r>
        <w:t>•</w:t>
      </w:r>
      <w:r>
        <w:rPr>
          <w:rStyle w:val="apple-tab-span"/>
          <w:rFonts w:eastAsiaTheme="majorEastAsia"/>
        </w:rPr>
        <w:t xml:space="preserve"> </w:t>
      </w:r>
      <w:r>
        <w:rPr>
          <w:rStyle w:val="s3"/>
          <w:rFonts w:eastAsiaTheme="majorEastAsia"/>
          <w:b/>
          <w:bCs/>
        </w:rPr>
        <w:t>3Ç24 Net Kâr:</w:t>
      </w:r>
      <w:r>
        <w:t xml:space="preserve"> TL 22.1 milyar</w:t>
      </w:r>
    </w:p>
    <w:p w14:paraId="2BAD3D21" w14:textId="77777777" w:rsidR="00997CC3" w:rsidRDefault="00997CC3" w:rsidP="00997CC3">
      <w:pPr>
        <w:pStyle w:val="p7"/>
      </w:pPr>
      <w:r>
        <w:t>•</w:t>
      </w:r>
      <w:r>
        <w:rPr>
          <w:rStyle w:val="apple-tab-span"/>
          <w:rFonts w:eastAsiaTheme="majorEastAsia"/>
        </w:rPr>
        <w:t xml:space="preserve"> </w:t>
      </w:r>
      <w:r>
        <w:t>Piyasa beklentisi: TL 21.3 milyar</w:t>
      </w:r>
    </w:p>
    <w:p w14:paraId="300EF008" w14:textId="77777777" w:rsidR="00997CC3" w:rsidRDefault="00997CC3" w:rsidP="00997CC3">
      <w:pPr>
        <w:pStyle w:val="p7"/>
      </w:pPr>
      <w:r>
        <w:t>•</w:t>
      </w:r>
      <w:r>
        <w:rPr>
          <w:rStyle w:val="apple-tab-span"/>
          <w:rFonts w:eastAsiaTheme="majorEastAsia"/>
        </w:rPr>
        <w:t xml:space="preserve"> </w:t>
      </w:r>
      <w:r>
        <w:t>İş Yatırım beklentisi: TL 20.6 milyar</w:t>
      </w:r>
    </w:p>
    <w:p w14:paraId="481B42F7" w14:textId="77777777" w:rsidR="00997CC3" w:rsidRDefault="00997CC3" w:rsidP="00997CC3">
      <w:pPr>
        <w:pStyle w:val="p4"/>
      </w:pPr>
      <w:r>
        <w:t>Banka, tahminleri aşan bir kâr açıklamıştır ( ).</w:t>
      </w:r>
    </w:p>
    <w:p w14:paraId="58E4D253" w14:textId="77777777" w:rsidR="00997CC3" w:rsidRDefault="00997CC3" w:rsidP="00997CC3">
      <w:pPr>
        <w:pStyle w:val="p6"/>
      </w:pPr>
      <w:r>
        <w:t>•</w:t>
      </w:r>
      <w:r>
        <w:rPr>
          <w:rStyle w:val="apple-tab-span"/>
          <w:rFonts w:eastAsiaTheme="majorEastAsia"/>
        </w:rPr>
        <w:t xml:space="preserve"> </w:t>
      </w:r>
      <w:r>
        <w:rPr>
          <w:rStyle w:val="s3"/>
          <w:rFonts w:eastAsiaTheme="majorEastAsia"/>
          <w:b/>
          <w:bCs/>
        </w:rPr>
        <w:t>4Ç24 Net Kâr:</w:t>
      </w:r>
      <w:r>
        <w:t xml:space="preserve"> TL 25.2 milyar</w:t>
      </w:r>
    </w:p>
    <w:p w14:paraId="5D6596C3" w14:textId="77777777" w:rsidR="00997CC3" w:rsidRDefault="00997CC3" w:rsidP="00997CC3">
      <w:pPr>
        <w:pStyle w:val="p7"/>
      </w:pPr>
      <w:r>
        <w:t>•</w:t>
      </w:r>
      <w:r>
        <w:rPr>
          <w:rStyle w:val="apple-tab-span"/>
          <w:rFonts w:eastAsiaTheme="majorEastAsia"/>
        </w:rPr>
        <w:t xml:space="preserve"> </w:t>
      </w:r>
      <w:r>
        <w:t>Piyasa beklentisi: ~ TL 24.5 milyar</w:t>
      </w:r>
    </w:p>
    <w:p w14:paraId="1D55A42A" w14:textId="77777777" w:rsidR="00997CC3" w:rsidRDefault="00997CC3" w:rsidP="00997CC3">
      <w:pPr>
        <w:pStyle w:val="p4"/>
      </w:pPr>
      <w:r>
        <w:t>Banka, yine beklentilerden bir miktar yüksek kâr açıklamıştır ( ).</w:t>
      </w:r>
    </w:p>
    <w:p w14:paraId="79879341" w14:textId="77777777" w:rsidR="00997CC3" w:rsidRDefault="00997CC3" w:rsidP="00997CC3">
      <w:pPr>
        <w:pStyle w:val="p2"/>
      </w:pPr>
    </w:p>
    <w:p w14:paraId="61292710" w14:textId="77777777" w:rsidR="00997CC3" w:rsidRDefault="00997CC3" w:rsidP="00997CC3">
      <w:pPr>
        <w:pStyle w:val="p4"/>
      </w:pPr>
      <w:r>
        <w:t>Bu veriler, Garanti Bankası’nın 2024 yılını toplamda TL 92 milyar düzeyinde kâr ile kapattığı ve yaklaşık %33 özkaynak kârlılığı ürettiği anlamına gelmektedir.</w:t>
      </w:r>
    </w:p>
    <w:p w14:paraId="02CC73CC" w14:textId="77777777" w:rsidR="00997CC3" w:rsidRDefault="00997CC3" w:rsidP="00997CC3">
      <w:pPr>
        <w:pStyle w:val="p1"/>
      </w:pPr>
      <w:r>
        <w:rPr>
          <w:b/>
          <w:bCs/>
        </w:rPr>
        <w:t>3. FINANSAL GÖSTERGELERİN ANALİZİ</w:t>
      </w:r>
    </w:p>
    <w:p w14:paraId="78830A8F" w14:textId="77777777" w:rsidR="00997CC3" w:rsidRDefault="00997CC3" w:rsidP="00997CC3">
      <w:pPr>
        <w:pStyle w:val="p2"/>
      </w:pPr>
    </w:p>
    <w:p w14:paraId="56390BA8" w14:textId="77777777" w:rsidR="00997CC3" w:rsidRDefault="00997CC3" w:rsidP="00997CC3">
      <w:pPr>
        <w:pStyle w:val="p3"/>
      </w:pPr>
      <w:r>
        <w:rPr>
          <w:b/>
          <w:bCs/>
        </w:rPr>
        <w:lastRenderedPageBreak/>
        <w:t>3.1. Net Faiz Marjı ve TÜFEX Gelirleri</w:t>
      </w:r>
    </w:p>
    <w:p w14:paraId="6581189A" w14:textId="77777777" w:rsidR="00997CC3" w:rsidRDefault="00997CC3" w:rsidP="00997CC3">
      <w:pPr>
        <w:pStyle w:val="p4"/>
      </w:pPr>
      <w:r>
        <w:rPr>
          <w:rStyle w:val="s1"/>
          <w:rFonts w:eastAsiaTheme="majorEastAsia"/>
        </w:rPr>
        <w:t>•</w:t>
      </w:r>
      <w:r>
        <w:rPr>
          <w:rStyle w:val="apple-tab-span"/>
          <w:rFonts w:eastAsiaTheme="majorEastAsia"/>
        </w:rPr>
        <w:t xml:space="preserve"> </w:t>
      </w:r>
      <w:r>
        <w:rPr>
          <w:b/>
          <w:bCs/>
        </w:rPr>
        <w:t>Net Faiz Marjı (Swap Düzeltilmiş):</w:t>
      </w:r>
    </w:p>
    <w:p w14:paraId="2499AD5B" w14:textId="77777777" w:rsidR="00997CC3" w:rsidRDefault="00997CC3" w:rsidP="00997CC3">
      <w:pPr>
        <w:pStyle w:val="p5"/>
      </w:pPr>
      <w:r>
        <w:t>2024 yılı boyunca yükselen fonlama maliyetlerine karşın Garanti, TÜFEX (TÜFE’ye endeksli menkul kıymet) gelirleri sayesinde çekirdek marjlarını kısmen koruyabilmiştir. Örneğin, 3Ç24’te %3.44 seviyesine çıkan marj, 4Ç24’te %4.3’e yükselmiştir ( ;</w:t>
      </w:r>
      <w:r>
        <w:rPr>
          <w:rStyle w:val="apple-converted-space"/>
        </w:rPr>
        <w:t xml:space="preserve">  </w:t>
      </w:r>
      <w:r>
        <w:t>).</w:t>
      </w:r>
    </w:p>
    <w:p w14:paraId="369C34A1" w14:textId="77777777" w:rsidR="00997CC3" w:rsidRDefault="00997CC3" w:rsidP="00997CC3">
      <w:pPr>
        <w:pStyle w:val="p4"/>
      </w:pPr>
      <w:r>
        <w:rPr>
          <w:rStyle w:val="s1"/>
          <w:rFonts w:eastAsiaTheme="majorEastAsia"/>
        </w:rPr>
        <w:t>•</w:t>
      </w:r>
      <w:r>
        <w:rPr>
          <w:rStyle w:val="apple-tab-span"/>
          <w:rFonts w:eastAsiaTheme="majorEastAsia"/>
        </w:rPr>
        <w:t xml:space="preserve"> </w:t>
      </w:r>
      <w:r>
        <w:rPr>
          <w:b/>
          <w:bCs/>
        </w:rPr>
        <w:t>TÜFEX Varsayımları:</w:t>
      </w:r>
    </w:p>
    <w:p w14:paraId="219BE3A6" w14:textId="77777777" w:rsidR="00997CC3" w:rsidRDefault="00997CC3" w:rsidP="00997CC3">
      <w:pPr>
        <w:pStyle w:val="p5"/>
      </w:pPr>
      <w:r>
        <w:t>Banka yönetiminin 3Ç24’te kullandığı enflasyon tahmini %45 iken, 4Ç24’te %48.6’ya yükseltilmiştir. Bu değişiklik, TÜFEX portföyünden elde edilen geliri artırarak kâra pozitif yansımıştır.</w:t>
      </w:r>
    </w:p>
    <w:p w14:paraId="74792501" w14:textId="77777777" w:rsidR="00997CC3" w:rsidRDefault="00997CC3" w:rsidP="00997CC3">
      <w:pPr>
        <w:pStyle w:val="p2"/>
      </w:pPr>
    </w:p>
    <w:p w14:paraId="668D7F10" w14:textId="77777777" w:rsidR="00997CC3" w:rsidRDefault="00997CC3" w:rsidP="00997CC3">
      <w:pPr>
        <w:pStyle w:val="p3"/>
      </w:pPr>
      <w:r>
        <w:rPr>
          <w:b/>
          <w:bCs/>
        </w:rPr>
        <w:t>3.2. Ücret-Komisyon Gelirleri</w:t>
      </w:r>
    </w:p>
    <w:p w14:paraId="5D5071A3" w14:textId="77777777" w:rsidR="00997CC3" w:rsidRDefault="00997CC3" w:rsidP="00997CC3">
      <w:pPr>
        <w:pStyle w:val="p2"/>
      </w:pPr>
    </w:p>
    <w:p w14:paraId="72245879" w14:textId="77777777" w:rsidR="00997CC3" w:rsidRDefault="00997CC3" w:rsidP="00997CC3">
      <w:pPr>
        <w:pStyle w:val="p5"/>
      </w:pPr>
      <w:r>
        <w:t>Banka, kredi kartları ve diğer bankacılık hizmetlerinden elde ettiği ücret-komisyon kalemlerinde son bir yılda oldukça başarılı bir performans sergilemiştir. Bu gelirlerin artması, faiz gelirindeki dalgalanmaların olumsuz etkilerini hafifletmiş ve bankanın gelir tabanını çeşitlendirmiştir.</w:t>
      </w:r>
    </w:p>
    <w:p w14:paraId="77630720" w14:textId="77777777" w:rsidR="00997CC3" w:rsidRDefault="00997CC3" w:rsidP="00997CC3">
      <w:pPr>
        <w:pStyle w:val="p2"/>
      </w:pPr>
    </w:p>
    <w:p w14:paraId="2D15497E" w14:textId="77777777" w:rsidR="00997CC3" w:rsidRDefault="00997CC3" w:rsidP="00997CC3">
      <w:pPr>
        <w:pStyle w:val="p3"/>
      </w:pPr>
      <w:r>
        <w:rPr>
          <w:b/>
          <w:bCs/>
        </w:rPr>
        <w:t>3.3. Faaliyet Giderleri</w:t>
      </w:r>
    </w:p>
    <w:p w14:paraId="24B12BC9" w14:textId="77777777" w:rsidR="00997CC3" w:rsidRDefault="00997CC3" w:rsidP="00997CC3">
      <w:pPr>
        <w:pStyle w:val="p2"/>
      </w:pPr>
    </w:p>
    <w:p w14:paraId="3BE97CA9" w14:textId="77777777" w:rsidR="00997CC3" w:rsidRDefault="00997CC3" w:rsidP="00997CC3">
      <w:pPr>
        <w:pStyle w:val="p5"/>
      </w:pPr>
      <w:r>
        <w:t>Personel giderlerindeki (maaş ve sosyal haklar) artış, diğer operasyonel maliyetlerle birleşerek yıllık bazda yüksek artış oranlarına yol açmıştır. 3Ç24’te faaliyet giderleri yıllık %92, 4Ç24’te %95 büyümüştür ( ;</w:t>
      </w:r>
      <w:r>
        <w:rPr>
          <w:rStyle w:val="apple-converted-space"/>
        </w:rPr>
        <w:t xml:space="preserve">  </w:t>
      </w:r>
      <w:r>
        <w:t>). Ancak, gelirlere bakıldığında komisyon ve faiz dışı gelir artışı sayesinde giderlerin bu yükselişinin kârlılığa olumsuz etkisi sınırlı kalmıştır.</w:t>
      </w:r>
    </w:p>
    <w:p w14:paraId="0760338B" w14:textId="77777777" w:rsidR="00997CC3" w:rsidRDefault="00997CC3" w:rsidP="00997CC3">
      <w:pPr>
        <w:pStyle w:val="p2"/>
      </w:pPr>
    </w:p>
    <w:p w14:paraId="10A60E4D" w14:textId="77777777" w:rsidR="00997CC3" w:rsidRDefault="00997CC3" w:rsidP="00997CC3">
      <w:pPr>
        <w:pStyle w:val="p3"/>
      </w:pPr>
      <w:r>
        <w:rPr>
          <w:b/>
          <w:bCs/>
        </w:rPr>
        <w:t>3.4. Aktif Kalitesi ve Karşılıklar</w:t>
      </w:r>
    </w:p>
    <w:p w14:paraId="4D7F594B" w14:textId="77777777" w:rsidR="00997CC3" w:rsidRDefault="00997CC3" w:rsidP="00997CC3">
      <w:pPr>
        <w:pStyle w:val="p2"/>
      </w:pPr>
    </w:p>
    <w:p w14:paraId="29916A5D" w14:textId="77777777" w:rsidR="00997CC3" w:rsidRDefault="00997CC3" w:rsidP="00997CC3">
      <w:pPr>
        <w:pStyle w:val="p5"/>
      </w:pPr>
      <w:r>
        <w:t>Banka muhafazakâr bir politika izleyerek olası riskleri önceden karşılık ayırmak suretiyle yönetmeyi tercih etmektedir. Bu yaklaşım, üçüncü ve dördüncü çeyrekte “normalleşen” takipteki kredi oranlarının kâr üzerindeki olumsuz etkisini sınırlamıştır. Ayrıca takipteki alacak satışlarından elde edilen gelir de kâra önemli katkı sağlamıştır.</w:t>
      </w:r>
    </w:p>
    <w:p w14:paraId="4AAA3CA3" w14:textId="77777777" w:rsidR="00997CC3" w:rsidRDefault="00997CC3" w:rsidP="00997CC3">
      <w:pPr>
        <w:pStyle w:val="p1"/>
      </w:pPr>
      <w:r>
        <w:rPr>
          <w:b/>
          <w:bCs/>
        </w:rPr>
        <w:lastRenderedPageBreak/>
        <w:t>4. 2025 ÖNGÖRÜLERİ VE STRATEJİ</w:t>
      </w:r>
    </w:p>
    <w:p w14:paraId="7FE524A9" w14:textId="77777777" w:rsidR="00997CC3" w:rsidRDefault="00997CC3" w:rsidP="00997CC3">
      <w:pPr>
        <w:pStyle w:val="p2"/>
      </w:pPr>
    </w:p>
    <w:p w14:paraId="14BC535F" w14:textId="77777777" w:rsidR="00997CC3" w:rsidRDefault="00997CC3" w:rsidP="00997CC3">
      <w:pPr>
        <w:pStyle w:val="p3"/>
      </w:pPr>
      <w:r>
        <w:rPr>
          <w:b/>
          <w:bCs/>
        </w:rPr>
        <w:t>4.1. 2025 Yılı Bütçe ve Yönetim Beklentileri</w:t>
      </w:r>
    </w:p>
    <w:p w14:paraId="17D70D40" w14:textId="77777777" w:rsidR="00997CC3" w:rsidRDefault="00997CC3" w:rsidP="00997CC3">
      <w:pPr>
        <w:pStyle w:val="p2"/>
      </w:pPr>
    </w:p>
    <w:p w14:paraId="30240A65" w14:textId="77777777" w:rsidR="00997CC3" w:rsidRDefault="00997CC3" w:rsidP="00997CC3">
      <w:pPr>
        <w:pStyle w:val="p4"/>
      </w:pPr>
      <w:r>
        <w:t>Garanti Bankası, 4Ç24 sonuçlarıyla birlikte 2025 öngörülerini de paylaşmıştır ( ). Öne çıkan hedefler:</w:t>
      </w:r>
    </w:p>
    <w:p w14:paraId="71AF9CBB" w14:textId="77777777" w:rsidR="00997CC3" w:rsidRDefault="00997CC3" w:rsidP="00997CC3">
      <w:pPr>
        <w:pStyle w:val="p5"/>
      </w:pPr>
      <w:r>
        <w:rPr>
          <w:rStyle w:val="s2"/>
          <w:rFonts w:eastAsiaTheme="majorEastAsia"/>
        </w:rPr>
        <w:t>1.</w:t>
      </w:r>
      <w:r>
        <w:rPr>
          <w:rStyle w:val="apple-tab-span"/>
          <w:rFonts w:eastAsiaTheme="majorEastAsia"/>
        </w:rPr>
        <w:t xml:space="preserve"> </w:t>
      </w:r>
      <w:r>
        <w:rPr>
          <w:b/>
          <w:bCs/>
        </w:rPr>
        <w:t>Kredi Büyümesi:</w:t>
      </w:r>
    </w:p>
    <w:p w14:paraId="791C9C2E" w14:textId="77777777" w:rsidR="00997CC3" w:rsidRDefault="00997CC3" w:rsidP="00997CC3">
      <w:pPr>
        <w:pStyle w:val="p6"/>
      </w:pPr>
      <w:r>
        <w:t>•</w:t>
      </w:r>
      <w:r>
        <w:rPr>
          <w:rStyle w:val="apple-tab-span"/>
          <w:rFonts w:eastAsiaTheme="majorEastAsia"/>
        </w:rPr>
        <w:t xml:space="preserve"> </w:t>
      </w:r>
      <w:r>
        <w:t>TL kredilerde enflasyonun üzerinde büyüme</w:t>
      </w:r>
    </w:p>
    <w:p w14:paraId="59A08047" w14:textId="77777777" w:rsidR="00997CC3" w:rsidRDefault="00997CC3" w:rsidP="00997CC3">
      <w:pPr>
        <w:pStyle w:val="p6"/>
      </w:pPr>
      <w:r>
        <w:t>•</w:t>
      </w:r>
      <w:r>
        <w:rPr>
          <w:rStyle w:val="apple-tab-span"/>
          <w:rFonts w:eastAsiaTheme="majorEastAsia"/>
        </w:rPr>
        <w:t xml:space="preserve"> </w:t>
      </w:r>
      <w:r>
        <w:t>YP kredilerde düşük onlu hanelerde (dolar cinsi) büyüme</w:t>
      </w:r>
    </w:p>
    <w:p w14:paraId="7D660F76" w14:textId="77777777" w:rsidR="00997CC3" w:rsidRDefault="00997CC3" w:rsidP="00997CC3">
      <w:pPr>
        <w:pStyle w:val="p5"/>
      </w:pPr>
      <w:r>
        <w:rPr>
          <w:rStyle w:val="s2"/>
          <w:rFonts w:eastAsiaTheme="majorEastAsia"/>
        </w:rPr>
        <w:t>2.</w:t>
      </w:r>
      <w:r>
        <w:rPr>
          <w:rStyle w:val="apple-tab-span"/>
          <w:rFonts w:eastAsiaTheme="majorEastAsia"/>
        </w:rPr>
        <w:t xml:space="preserve"> </w:t>
      </w:r>
      <w:r>
        <w:rPr>
          <w:b/>
          <w:bCs/>
        </w:rPr>
        <w:t>Marj (Swap Düzeltilmiş):</w:t>
      </w:r>
    </w:p>
    <w:p w14:paraId="4F6C22BE" w14:textId="77777777" w:rsidR="00997CC3" w:rsidRDefault="00997CC3" w:rsidP="00997CC3">
      <w:pPr>
        <w:pStyle w:val="p6"/>
      </w:pPr>
      <w:r>
        <w:t>•</w:t>
      </w:r>
      <w:r>
        <w:rPr>
          <w:rStyle w:val="apple-tab-span"/>
          <w:rFonts w:eastAsiaTheme="majorEastAsia"/>
        </w:rPr>
        <w:t xml:space="preserve"> </w:t>
      </w:r>
      <w:r>
        <w:t>Yaklaşık 300 baz puan artış öngörülmektedir. Banka, faizlerin düşüş trendinde swap maliyetlerinin gerilemesini beklemektedir.</w:t>
      </w:r>
    </w:p>
    <w:p w14:paraId="027DBD0D" w14:textId="77777777" w:rsidR="00997CC3" w:rsidRDefault="00997CC3" w:rsidP="00997CC3">
      <w:pPr>
        <w:pStyle w:val="p5"/>
      </w:pPr>
      <w:r>
        <w:rPr>
          <w:rStyle w:val="s2"/>
          <w:rFonts w:eastAsiaTheme="majorEastAsia"/>
        </w:rPr>
        <w:t>3.</w:t>
      </w:r>
      <w:r>
        <w:rPr>
          <w:rStyle w:val="apple-tab-span"/>
          <w:rFonts w:eastAsiaTheme="majorEastAsia"/>
        </w:rPr>
        <w:t xml:space="preserve"> </w:t>
      </w:r>
      <w:r>
        <w:rPr>
          <w:b/>
          <w:bCs/>
        </w:rPr>
        <w:t>Ücret ve Komisyon Gelirleri:</w:t>
      </w:r>
    </w:p>
    <w:p w14:paraId="2CCA5006" w14:textId="77777777" w:rsidR="00997CC3" w:rsidRDefault="00997CC3" w:rsidP="00997CC3">
      <w:pPr>
        <w:pStyle w:val="p6"/>
      </w:pPr>
      <w:r>
        <w:t>•</w:t>
      </w:r>
      <w:r>
        <w:rPr>
          <w:rStyle w:val="apple-tab-span"/>
          <w:rFonts w:eastAsiaTheme="majorEastAsia"/>
        </w:rPr>
        <w:t xml:space="preserve"> </w:t>
      </w:r>
      <w:r>
        <w:t>Enflasyonun üzerinde artış beklentisi. Faizlerin gerilemesi durumunda kredi kart ve kredi hacmi artışından gelebilecek ek komisyonların desteği bu tahmini mümkün kılmaktadır.</w:t>
      </w:r>
    </w:p>
    <w:p w14:paraId="686CC7C7" w14:textId="77777777" w:rsidR="00997CC3" w:rsidRDefault="00997CC3" w:rsidP="00997CC3">
      <w:pPr>
        <w:pStyle w:val="p5"/>
      </w:pPr>
      <w:r>
        <w:rPr>
          <w:rStyle w:val="s2"/>
          <w:rFonts w:eastAsiaTheme="majorEastAsia"/>
        </w:rPr>
        <w:t>4.</w:t>
      </w:r>
      <w:r>
        <w:rPr>
          <w:rStyle w:val="apple-tab-span"/>
          <w:rFonts w:eastAsiaTheme="majorEastAsia"/>
        </w:rPr>
        <w:t xml:space="preserve"> </w:t>
      </w:r>
      <w:r>
        <w:rPr>
          <w:b/>
          <w:bCs/>
        </w:rPr>
        <w:t>Net Risk Maliyeti:</w:t>
      </w:r>
    </w:p>
    <w:p w14:paraId="303906B8" w14:textId="77777777" w:rsidR="00997CC3" w:rsidRDefault="00997CC3" w:rsidP="00997CC3">
      <w:pPr>
        <w:pStyle w:val="p6"/>
      </w:pPr>
      <w:r>
        <w:t>•</w:t>
      </w:r>
      <w:r>
        <w:rPr>
          <w:rStyle w:val="apple-tab-span"/>
          <w:rFonts w:eastAsiaTheme="majorEastAsia"/>
        </w:rPr>
        <w:t xml:space="preserve"> </w:t>
      </w:r>
      <w:r>
        <w:t>200 – 250 baz puan aralığında öngörülmektedir. Bankanın muhafazakâr politikası ve güçlü tahsilat alışkanlığı bu hedefi desteklemektedir.</w:t>
      </w:r>
    </w:p>
    <w:p w14:paraId="16C38A20" w14:textId="77777777" w:rsidR="00997CC3" w:rsidRDefault="00997CC3" w:rsidP="00997CC3">
      <w:pPr>
        <w:pStyle w:val="p5"/>
      </w:pPr>
      <w:r>
        <w:rPr>
          <w:rStyle w:val="s2"/>
          <w:rFonts w:eastAsiaTheme="majorEastAsia"/>
        </w:rPr>
        <w:t>5.</w:t>
      </w:r>
      <w:r>
        <w:rPr>
          <w:rStyle w:val="apple-tab-span"/>
          <w:rFonts w:eastAsiaTheme="majorEastAsia"/>
        </w:rPr>
        <w:t xml:space="preserve"> </w:t>
      </w:r>
      <w:r>
        <w:rPr>
          <w:b/>
          <w:bCs/>
        </w:rPr>
        <w:t>Özkaynak Kârlılığı:</w:t>
      </w:r>
    </w:p>
    <w:p w14:paraId="6696B9D3" w14:textId="77777777" w:rsidR="00997CC3" w:rsidRDefault="00997CC3" w:rsidP="00997CC3">
      <w:pPr>
        <w:pStyle w:val="p6"/>
      </w:pPr>
      <w:r>
        <w:t>•</w:t>
      </w:r>
      <w:r>
        <w:rPr>
          <w:rStyle w:val="apple-tab-span"/>
          <w:rFonts w:eastAsiaTheme="majorEastAsia"/>
        </w:rPr>
        <w:t xml:space="preserve"> </w:t>
      </w:r>
      <w:r>
        <w:t>Yönetim düşük 30’lu seviyeleri öngörürken, piyasa analistleri bunun biraz daha yukarıda, yaklaşık %35 düzeyinde gerçekleşebileceğini tahmin etmektedir.</w:t>
      </w:r>
    </w:p>
    <w:p w14:paraId="3F63C971" w14:textId="77777777" w:rsidR="00997CC3" w:rsidRDefault="00997CC3" w:rsidP="00997CC3">
      <w:pPr>
        <w:pStyle w:val="p2"/>
      </w:pPr>
    </w:p>
    <w:p w14:paraId="7233BC34" w14:textId="77777777" w:rsidR="00997CC3" w:rsidRDefault="00997CC3" w:rsidP="00997CC3">
      <w:pPr>
        <w:pStyle w:val="p3"/>
      </w:pPr>
      <w:r>
        <w:rPr>
          <w:b/>
          <w:bCs/>
        </w:rPr>
        <w:t>4.2. Değerlendirme</w:t>
      </w:r>
    </w:p>
    <w:p w14:paraId="45C81405" w14:textId="77777777" w:rsidR="00997CC3" w:rsidRDefault="00997CC3" w:rsidP="00997CC3">
      <w:pPr>
        <w:pStyle w:val="p2"/>
      </w:pPr>
    </w:p>
    <w:p w14:paraId="27B4EAB2" w14:textId="77777777" w:rsidR="00997CC3" w:rsidRDefault="00997CC3" w:rsidP="00997CC3">
      <w:pPr>
        <w:pStyle w:val="p4"/>
      </w:pPr>
      <w:r>
        <w:t xml:space="preserve">Garanti Bankası’nın paylaştığı 2025 öngörüleri “muhafazakâr” olarak nitelense bile, yine de güçlü bir kârlılığı işaret etmektedir. Faiz ortamında beklenen normalleşme, bankanın TL kredi-mevduat vadesi uyumu ve yüksek ücret-komisyon katkısı sayesinde iyimser bir tablo çizmesine </w:t>
      </w:r>
      <w:r>
        <w:lastRenderedPageBreak/>
        <w:t>olanak vermektedir. Aynı zamanda, risk maliyeti tarafında yıllardır sürdürülen disiplinli yaklaşım, takibe düşen krediler artsa bile kârlılığı korumaya yardımcı olmaktadır.</w:t>
      </w:r>
    </w:p>
    <w:p w14:paraId="629C7133" w14:textId="77777777" w:rsidR="00997CC3" w:rsidRDefault="00997CC3" w:rsidP="00997CC3">
      <w:pPr>
        <w:pStyle w:val="p1"/>
      </w:pPr>
      <w:r>
        <w:rPr>
          <w:b/>
          <w:bCs/>
        </w:rPr>
        <w:t>5. SON BEŞ YILLIK PERFORMANSIN ÖZETİ</w:t>
      </w:r>
    </w:p>
    <w:p w14:paraId="26AF96C2" w14:textId="77777777" w:rsidR="00997CC3" w:rsidRDefault="00997CC3" w:rsidP="00997CC3">
      <w:pPr>
        <w:pStyle w:val="p2"/>
      </w:pPr>
    </w:p>
    <w:p w14:paraId="3937532A" w14:textId="77777777" w:rsidR="00997CC3" w:rsidRDefault="00997CC3" w:rsidP="00997CC3">
      <w:pPr>
        <w:pStyle w:val="p3"/>
      </w:pPr>
      <w:r>
        <w:t>Yalnızca son bir yıllık döneme değil, 5 yıllık periyoda bakıldığında Garanti Bankası’nın çeşitli konjonktürel zorlukları aşarak süreklilik arz eden bir kârlılık yapısı sergilediği görülebilir.</w:t>
      </w:r>
    </w:p>
    <w:p w14:paraId="1A7E3F10" w14:textId="77777777" w:rsidR="00997CC3" w:rsidRDefault="00997CC3" w:rsidP="00997CC3">
      <w:pPr>
        <w:pStyle w:val="p4"/>
      </w:pPr>
      <w:r>
        <w:rPr>
          <w:rStyle w:val="s1"/>
          <w:rFonts w:eastAsiaTheme="majorEastAsia"/>
        </w:rPr>
        <w:t>1.</w:t>
      </w:r>
      <w:r>
        <w:rPr>
          <w:rStyle w:val="apple-tab-span"/>
          <w:rFonts w:eastAsiaTheme="majorEastAsia"/>
        </w:rPr>
        <w:t xml:space="preserve"> </w:t>
      </w:r>
      <w:r>
        <w:rPr>
          <w:b/>
          <w:bCs/>
        </w:rPr>
        <w:t>2019–2020 Dönemi:</w:t>
      </w:r>
    </w:p>
    <w:p w14:paraId="78460341" w14:textId="77777777" w:rsidR="00997CC3" w:rsidRDefault="00997CC3" w:rsidP="00997CC3">
      <w:pPr>
        <w:pStyle w:val="p5"/>
      </w:pPr>
      <w:r>
        <w:t>•</w:t>
      </w:r>
      <w:r>
        <w:rPr>
          <w:rStyle w:val="apple-tab-span"/>
          <w:rFonts w:eastAsiaTheme="majorEastAsia"/>
        </w:rPr>
        <w:t xml:space="preserve"> </w:t>
      </w:r>
      <w:r>
        <w:t>Faizlerdeki düşüş ve pandemi başlangıcının getirdiği riskler sebebiyle bankacılık sektörü zorlanmıştır. Buna rağmen Garanti, dijital bankacılık ve kredi kartı segmentindeki güçlü konumuyla pazar payını korumuştur.</w:t>
      </w:r>
    </w:p>
    <w:p w14:paraId="30F7C887" w14:textId="77777777" w:rsidR="00997CC3" w:rsidRDefault="00997CC3" w:rsidP="00997CC3">
      <w:pPr>
        <w:pStyle w:val="p4"/>
      </w:pPr>
      <w:r>
        <w:rPr>
          <w:rStyle w:val="s1"/>
          <w:rFonts w:eastAsiaTheme="majorEastAsia"/>
        </w:rPr>
        <w:t>2.</w:t>
      </w:r>
      <w:r>
        <w:rPr>
          <w:rStyle w:val="apple-tab-span"/>
          <w:rFonts w:eastAsiaTheme="majorEastAsia"/>
        </w:rPr>
        <w:t xml:space="preserve"> </w:t>
      </w:r>
      <w:r>
        <w:rPr>
          <w:b/>
          <w:bCs/>
        </w:rPr>
        <w:t>2021–2022 Dönemi:</w:t>
      </w:r>
    </w:p>
    <w:p w14:paraId="2CD4BCE2" w14:textId="77777777" w:rsidR="00997CC3" w:rsidRDefault="00997CC3" w:rsidP="00997CC3">
      <w:pPr>
        <w:pStyle w:val="p5"/>
      </w:pPr>
      <w:r>
        <w:t>•</w:t>
      </w:r>
      <w:r>
        <w:rPr>
          <w:rStyle w:val="apple-tab-span"/>
          <w:rFonts w:eastAsiaTheme="majorEastAsia"/>
        </w:rPr>
        <w:t xml:space="preserve"> </w:t>
      </w:r>
      <w:r>
        <w:t>Pandemiden çıkış süreci ve artan enflasyon, kredi-mevduat faizlerinde dalgalanma yaratmıştır. Banka, aktif kalitesini korumaya odaklanarak karşılık politikalarında muhafazakâr yaklaşım benimsemiştir. Bu sayede takipteki kredi oranı sektör ortalamasının altında tutulmuştur.</w:t>
      </w:r>
    </w:p>
    <w:p w14:paraId="785EFBC5" w14:textId="77777777" w:rsidR="00997CC3" w:rsidRDefault="00997CC3" w:rsidP="00997CC3">
      <w:pPr>
        <w:pStyle w:val="p4"/>
      </w:pPr>
      <w:r>
        <w:rPr>
          <w:rStyle w:val="s1"/>
          <w:rFonts w:eastAsiaTheme="majorEastAsia"/>
        </w:rPr>
        <w:t>3.</w:t>
      </w:r>
      <w:r>
        <w:rPr>
          <w:rStyle w:val="apple-tab-span"/>
          <w:rFonts w:eastAsiaTheme="majorEastAsia"/>
        </w:rPr>
        <w:t xml:space="preserve"> </w:t>
      </w:r>
      <w:r>
        <w:rPr>
          <w:b/>
          <w:bCs/>
        </w:rPr>
        <w:t>2023–2024 Dönemi:</w:t>
      </w:r>
    </w:p>
    <w:p w14:paraId="6EEDB451" w14:textId="77777777" w:rsidR="00997CC3" w:rsidRDefault="00997CC3" w:rsidP="00997CC3">
      <w:pPr>
        <w:pStyle w:val="p5"/>
      </w:pPr>
      <w:r>
        <w:t>•</w:t>
      </w:r>
      <w:r>
        <w:rPr>
          <w:rStyle w:val="apple-tab-span"/>
          <w:rFonts w:eastAsiaTheme="majorEastAsia"/>
        </w:rPr>
        <w:t xml:space="preserve"> </w:t>
      </w:r>
      <w:r>
        <w:t>Yükselen faiz ortamı ve makroekonomik dalgalanmalar bankacılık sektörü marjlarını baskılarken, Garanti Bankası TÜFEX gelirlerini ve yüksek komisyon artışını kalkan olarak kullanmıştır. Özellikle 2024 yılında elde edilen %33 özkaynak kârlılığı sektör ortalamasının üzerindedir.</w:t>
      </w:r>
    </w:p>
    <w:p w14:paraId="302B7C17" w14:textId="77777777" w:rsidR="00997CC3" w:rsidRDefault="00997CC3" w:rsidP="00997CC3">
      <w:pPr>
        <w:pStyle w:val="p4"/>
      </w:pPr>
      <w:r>
        <w:rPr>
          <w:rStyle w:val="s1"/>
          <w:rFonts w:eastAsiaTheme="majorEastAsia"/>
        </w:rPr>
        <w:t>4.</w:t>
      </w:r>
      <w:r>
        <w:rPr>
          <w:rStyle w:val="apple-tab-span"/>
          <w:rFonts w:eastAsiaTheme="majorEastAsia"/>
        </w:rPr>
        <w:t xml:space="preserve"> </w:t>
      </w:r>
      <w:r>
        <w:rPr>
          <w:b/>
          <w:bCs/>
        </w:rPr>
        <w:t>Dijitalleşme:</w:t>
      </w:r>
    </w:p>
    <w:p w14:paraId="0F445128" w14:textId="77777777" w:rsidR="00997CC3" w:rsidRDefault="00997CC3" w:rsidP="00997CC3">
      <w:pPr>
        <w:pStyle w:val="p5"/>
      </w:pPr>
      <w:r>
        <w:t>•</w:t>
      </w:r>
      <w:r>
        <w:rPr>
          <w:rStyle w:val="apple-tab-span"/>
          <w:rFonts w:eastAsiaTheme="majorEastAsia"/>
        </w:rPr>
        <w:t xml:space="preserve"> </w:t>
      </w:r>
      <w:r>
        <w:t>Son 5 yılda müşteri kazanım giderleri artsa da, dijital kanallardan sağlanan komisyonlar ve cross-sell imkânları (yeni ürünlerin mevcut müşterilere sunulması) bankanın ücret-komisyon gelirlerini yükseltmiştir.</w:t>
      </w:r>
    </w:p>
    <w:p w14:paraId="4AEA13FE" w14:textId="77777777" w:rsidR="00997CC3" w:rsidRDefault="00997CC3" w:rsidP="00997CC3">
      <w:pPr>
        <w:pStyle w:val="p1"/>
      </w:pPr>
      <w:r>
        <w:rPr>
          <w:b/>
          <w:bCs/>
        </w:rPr>
        <w:t>6. RİSKLER VE FIRSATLAR</w:t>
      </w:r>
    </w:p>
    <w:p w14:paraId="110DD46A" w14:textId="77777777" w:rsidR="00997CC3" w:rsidRDefault="00997CC3" w:rsidP="00997CC3">
      <w:pPr>
        <w:pStyle w:val="p2"/>
      </w:pPr>
    </w:p>
    <w:p w14:paraId="5A9A9184" w14:textId="77777777" w:rsidR="00997CC3" w:rsidRDefault="00997CC3" w:rsidP="00997CC3">
      <w:pPr>
        <w:pStyle w:val="p3"/>
      </w:pPr>
      <w:r>
        <w:rPr>
          <w:b/>
          <w:bCs/>
        </w:rPr>
        <w:t>6.1. Temel Riskler</w:t>
      </w:r>
    </w:p>
    <w:p w14:paraId="76CD58D4" w14:textId="77777777" w:rsidR="00997CC3" w:rsidRDefault="00997CC3" w:rsidP="00997CC3">
      <w:pPr>
        <w:pStyle w:val="p4"/>
      </w:pPr>
      <w:r>
        <w:rPr>
          <w:rStyle w:val="s1"/>
          <w:rFonts w:eastAsiaTheme="majorEastAsia"/>
        </w:rPr>
        <w:t>1.</w:t>
      </w:r>
      <w:r>
        <w:rPr>
          <w:rStyle w:val="apple-tab-span"/>
          <w:rFonts w:eastAsiaTheme="majorEastAsia"/>
        </w:rPr>
        <w:t xml:space="preserve"> </w:t>
      </w:r>
      <w:r>
        <w:rPr>
          <w:b/>
          <w:bCs/>
        </w:rPr>
        <w:t>Makroekonomik Belirsizlikler:</w:t>
      </w:r>
    </w:p>
    <w:p w14:paraId="3ED5C217" w14:textId="77777777" w:rsidR="00997CC3" w:rsidRDefault="00997CC3" w:rsidP="00997CC3">
      <w:pPr>
        <w:pStyle w:val="p5"/>
      </w:pPr>
      <w:r>
        <w:t>Yüksek enflasyon ve faiz dalgalanmaları, banka marjlarını ve kredi talebini etkileyebilir.</w:t>
      </w:r>
    </w:p>
    <w:p w14:paraId="2983B69C" w14:textId="77777777" w:rsidR="00997CC3" w:rsidRDefault="00997CC3" w:rsidP="00997CC3">
      <w:pPr>
        <w:pStyle w:val="p4"/>
      </w:pPr>
      <w:r>
        <w:rPr>
          <w:rStyle w:val="s1"/>
          <w:rFonts w:eastAsiaTheme="majorEastAsia"/>
        </w:rPr>
        <w:t>2.</w:t>
      </w:r>
      <w:r>
        <w:rPr>
          <w:rStyle w:val="apple-tab-span"/>
          <w:rFonts w:eastAsiaTheme="majorEastAsia"/>
        </w:rPr>
        <w:t xml:space="preserve"> </w:t>
      </w:r>
      <w:r>
        <w:rPr>
          <w:b/>
          <w:bCs/>
        </w:rPr>
        <w:t>Regülasyonlar ve Zorunlu Karşılıklar:</w:t>
      </w:r>
    </w:p>
    <w:p w14:paraId="3D0158BC" w14:textId="77777777" w:rsidR="00997CC3" w:rsidRDefault="00997CC3" w:rsidP="00997CC3">
      <w:pPr>
        <w:pStyle w:val="p5"/>
      </w:pPr>
      <w:r>
        <w:lastRenderedPageBreak/>
        <w:t>Düzenleyici otoritenin alabileceği yeni kararlar (ör. munzam karşılık oranları, aktif rasyosu vb.) bankanın fonlama maliyetlerini ve marjlarını etkileyebilir.</w:t>
      </w:r>
    </w:p>
    <w:p w14:paraId="77B60ADF" w14:textId="77777777" w:rsidR="00997CC3" w:rsidRDefault="00997CC3" w:rsidP="00997CC3">
      <w:pPr>
        <w:pStyle w:val="p4"/>
      </w:pPr>
      <w:r>
        <w:rPr>
          <w:rStyle w:val="s1"/>
          <w:rFonts w:eastAsiaTheme="majorEastAsia"/>
        </w:rPr>
        <w:t>3.</w:t>
      </w:r>
      <w:r>
        <w:rPr>
          <w:rStyle w:val="apple-tab-span"/>
          <w:rFonts w:eastAsiaTheme="majorEastAsia"/>
        </w:rPr>
        <w:t xml:space="preserve"> </w:t>
      </w:r>
      <w:r>
        <w:rPr>
          <w:b/>
          <w:bCs/>
        </w:rPr>
        <w:t>Kur Riski:</w:t>
      </w:r>
    </w:p>
    <w:p w14:paraId="1DCC0067" w14:textId="77777777" w:rsidR="00997CC3" w:rsidRDefault="00997CC3" w:rsidP="00997CC3">
      <w:pPr>
        <w:pStyle w:val="p5"/>
      </w:pPr>
      <w:r>
        <w:t>Bankanın bilançosunda döviz cinsi aktif-pasif dengesine rağmen hızlı kur hareketleri kâr/zarar dengesini etkileyebilir.</w:t>
      </w:r>
    </w:p>
    <w:p w14:paraId="36383EC5" w14:textId="77777777" w:rsidR="00997CC3" w:rsidRDefault="00997CC3" w:rsidP="00997CC3">
      <w:pPr>
        <w:pStyle w:val="p4"/>
      </w:pPr>
      <w:r>
        <w:rPr>
          <w:rStyle w:val="s1"/>
          <w:rFonts w:eastAsiaTheme="majorEastAsia"/>
        </w:rPr>
        <w:t>4.</w:t>
      </w:r>
      <w:r>
        <w:rPr>
          <w:rStyle w:val="apple-tab-span"/>
          <w:rFonts w:eastAsiaTheme="majorEastAsia"/>
        </w:rPr>
        <w:t xml:space="preserve"> </w:t>
      </w:r>
      <w:r>
        <w:rPr>
          <w:b/>
          <w:bCs/>
        </w:rPr>
        <w:t>Takipteki Kredilerde Artış:</w:t>
      </w:r>
    </w:p>
    <w:p w14:paraId="26CCCCC2" w14:textId="77777777" w:rsidR="00997CC3" w:rsidRDefault="00997CC3" w:rsidP="00997CC3">
      <w:pPr>
        <w:pStyle w:val="p5"/>
      </w:pPr>
      <w:r>
        <w:t>Ekonomik yavaşlama ya da gelir kaybı dönemlerinde tüketici ve KOBİ kredilerinde tahsilat sorunu yaşanabilir; ancak Garanti’nin muhafazakâr karşılık politikası bu riski sınırlamaktadır.</w:t>
      </w:r>
    </w:p>
    <w:p w14:paraId="19D7E301" w14:textId="77777777" w:rsidR="00997CC3" w:rsidRDefault="00997CC3" w:rsidP="00997CC3">
      <w:pPr>
        <w:pStyle w:val="p2"/>
      </w:pPr>
    </w:p>
    <w:p w14:paraId="0A2C5D81" w14:textId="77777777" w:rsidR="00997CC3" w:rsidRDefault="00997CC3" w:rsidP="00997CC3">
      <w:pPr>
        <w:pStyle w:val="p3"/>
      </w:pPr>
      <w:r>
        <w:rPr>
          <w:b/>
          <w:bCs/>
        </w:rPr>
        <w:t>6.2. Temel Fırsatlar</w:t>
      </w:r>
    </w:p>
    <w:p w14:paraId="630BE3EB" w14:textId="77777777" w:rsidR="00997CC3" w:rsidRDefault="00997CC3" w:rsidP="00997CC3">
      <w:pPr>
        <w:pStyle w:val="p4"/>
      </w:pPr>
      <w:r>
        <w:rPr>
          <w:rStyle w:val="s1"/>
          <w:rFonts w:eastAsiaTheme="majorEastAsia"/>
        </w:rPr>
        <w:t>1.</w:t>
      </w:r>
      <w:r>
        <w:rPr>
          <w:rStyle w:val="apple-tab-span"/>
          <w:rFonts w:eastAsiaTheme="majorEastAsia"/>
        </w:rPr>
        <w:t xml:space="preserve"> </w:t>
      </w:r>
      <w:r>
        <w:rPr>
          <w:b/>
          <w:bCs/>
        </w:rPr>
        <w:t>Komisyon Gelirlerindeki Yükseliş Trendinin Sürmesi:</w:t>
      </w:r>
    </w:p>
    <w:p w14:paraId="5A33A834" w14:textId="77777777" w:rsidR="00997CC3" w:rsidRDefault="00997CC3" w:rsidP="00997CC3">
      <w:pPr>
        <w:pStyle w:val="p5"/>
      </w:pPr>
      <w:r>
        <w:t>Bankanın yoğun dijitalleşme ve kredi kartı işlem hacmindeki genişleme sayesinde ücret ve komisyon gelirlerini artırma potansiyeli devam ediyor.</w:t>
      </w:r>
    </w:p>
    <w:p w14:paraId="0AC8BA12" w14:textId="77777777" w:rsidR="00997CC3" w:rsidRDefault="00997CC3" w:rsidP="00997CC3">
      <w:pPr>
        <w:pStyle w:val="p4"/>
      </w:pPr>
      <w:r>
        <w:rPr>
          <w:rStyle w:val="s1"/>
          <w:rFonts w:eastAsiaTheme="majorEastAsia"/>
        </w:rPr>
        <w:t>2.</w:t>
      </w:r>
      <w:r>
        <w:rPr>
          <w:rStyle w:val="apple-tab-span"/>
          <w:rFonts w:eastAsiaTheme="majorEastAsia"/>
        </w:rPr>
        <w:t xml:space="preserve"> </w:t>
      </w:r>
      <w:r>
        <w:rPr>
          <w:b/>
          <w:bCs/>
        </w:rPr>
        <w:t>Faizlerde Beklenen Gerileme:</w:t>
      </w:r>
    </w:p>
    <w:p w14:paraId="5196FC96" w14:textId="77777777" w:rsidR="00997CC3" w:rsidRDefault="00997CC3" w:rsidP="00997CC3">
      <w:pPr>
        <w:pStyle w:val="p5"/>
      </w:pPr>
      <w:r>
        <w:t>Yüksek faiz döneminde sıklıkla fonlama maliyetleri baskı yaratmaktadır. Faizlerde kademeli bir gevşeme, bankanın net faiz marjına olumlu katkı sağlayabilir.</w:t>
      </w:r>
    </w:p>
    <w:p w14:paraId="2864DB3D" w14:textId="77777777" w:rsidR="00997CC3" w:rsidRDefault="00997CC3" w:rsidP="00997CC3">
      <w:pPr>
        <w:pStyle w:val="p4"/>
      </w:pPr>
      <w:r>
        <w:rPr>
          <w:rStyle w:val="s1"/>
          <w:rFonts w:eastAsiaTheme="majorEastAsia"/>
        </w:rPr>
        <w:t>3.</w:t>
      </w:r>
      <w:r>
        <w:rPr>
          <w:rStyle w:val="apple-tab-span"/>
          <w:rFonts w:eastAsiaTheme="majorEastAsia"/>
        </w:rPr>
        <w:t xml:space="preserve"> </w:t>
      </w:r>
      <w:r>
        <w:rPr>
          <w:b/>
          <w:bCs/>
        </w:rPr>
        <w:t>Kredi Kartı ve Tüketici Kredilerinde Pazar Payı Artışı:</w:t>
      </w:r>
    </w:p>
    <w:p w14:paraId="403B7758" w14:textId="77777777" w:rsidR="00997CC3" w:rsidRDefault="00997CC3" w:rsidP="00997CC3">
      <w:pPr>
        <w:pStyle w:val="p5"/>
      </w:pPr>
      <w:r>
        <w:t>Garanti, bonus kartları ve kampanyalı kredilerle müşteri tabanını büyütme imkânına sahiptir.</w:t>
      </w:r>
    </w:p>
    <w:p w14:paraId="445E500C" w14:textId="77777777" w:rsidR="00997CC3" w:rsidRDefault="00997CC3" w:rsidP="00997CC3">
      <w:pPr>
        <w:pStyle w:val="p4"/>
      </w:pPr>
      <w:r>
        <w:rPr>
          <w:rStyle w:val="s1"/>
          <w:rFonts w:eastAsiaTheme="majorEastAsia"/>
        </w:rPr>
        <w:t>4.</w:t>
      </w:r>
      <w:r>
        <w:rPr>
          <w:rStyle w:val="apple-tab-span"/>
          <w:rFonts w:eastAsiaTheme="majorEastAsia"/>
        </w:rPr>
        <w:t xml:space="preserve"> </w:t>
      </w:r>
      <w:r>
        <w:rPr>
          <w:b/>
          <w:bCs/>
        </w:rPr>
        <w:t>Tahsilat ve Varlık Yönetimi Deneyimi:</w:t>
      </w:r>
    </w:p>
    <w:p w14:paraId="7131B778" w14:textId="77777777" w:rsidR="00997CC3" w:rsidRDefault="00997CC3" w:rsidP="00997CC3">
      <w:pPr>
        <w:pStyle w:val="p5"/>
      </w:pPr>
      <w:r>
        <w:t>Takipteki kredilerin başarılı yönetimi, portföy satışları ve tahsilatlardan elde edilen gelir, bankanın kârlılığını artıran faktörlerden biridir.</w:t>
      </w:r>
    </w:p>
    <w:p w14:paraId="1B587201" w14:textId="77777777" w:rsidR="00997CC3" w:rsidRDefault="00997CC3" w:rsidP="00997CC3">
      <w:pPr>
        <w:pStyle w:val="p1"/>
      </w:pPr>
      <w:r>
        <w:rPr>
          <w:b/>
          <w:bCs/>
        </w:rPr>
        <w:t>7. SONUÇ VE DEĞERLENDİRME</w:t>
      </w:r>
    </w:p>
    <w:p w14:paraId="2B1A4A22" w14:textId="77777777" w:rsidR="00997CC3" w:rsidRDefault="00997CC3" w:rsidP="00997CC3">
      <w:pPr>
        <w:pStyle w:val="p2"/>
      </w:pPr>
    </w:p>
    <w:p w14:paraId="2A9AD5EA" w14:textId="77777777" w:rsidR="00997CC3" w:rsidRDefault="00997CC3" w:rsidP="00997CC3">
      <w:pPr>
        <w:pStyle w:val="p3"/>
      </w:pPr>
      <w:r>
        <w:rPr>
          <w:b/>
          <w:bCs/>
        </w:rPr>
        <w:t>Son Bir Yıllık Dönem:</w:t>
      </w:r>
    </w:p>
    <w:p w14:paraId="110D4A80" w14:textId="77777777" w:rsidR="00997CC3" w:rsidRDefault="00997CC3" w:rsidP="00997CC3">
      <w:pPr>
        <w:pStyle w:val="p4"/>
      </w:pPr>
      <w:r>
        <w:t>Garanti Bankası, 2024 yılı boyunca zorlayıcı düzenlemelere ve yüksek faiz ortamına rağmen güçlü bir net kârlılık elde etmiştir. Ücret ve komisyon gelirlerindeki belirgin artış, TÜFE’ye endeksli menkul kıymet getirilerinin yükselmesi ve muhafazakâr risk yönetimi politikası sayesinde bankanın özkaynak kârlılığı %33 düzeyine ulaşmıştır.</w:t>
      </w:r>
    </w:p>
    <w:p w14:paraId="45EFD7D5" w14:textId="77777777" w:rsidR="00997CC3" w:rsidRDefault="00997CC3" w:rsidP="00997CC3">
      <w:pPr>
        <w:pStyle w:val="p2"/>
      </w:pPr>
    </w:p>
    <w:p w14:paraId="1D37DD39" w14:textId="77777777" w:rsidR="00997CC3" w:rsidRDefault="00997CC3" w:rsidP="00997CC3">
      <w:pPr>
        <w:pStyle w:val="p3"/>
      </w:pPr>
      <w:r>
        <w:rPr>
          <w:b/>
          <w:bCs/>
        </w:rPr>
        <w:t>2025 Beklentileri:</w:t>
      </w:r>
    </w:p>
    <w:p w14:paraId="032E9B31" w14:textId="77777777" w:rsidR="00997CC3" w:rsidRDefault="00997CC3" w:rsidP="00997CC3">
      <w:pPr>
        <w:pStyle w:val="p4"/>
      </w:pPr>
      <w:r>
        <w:t>Banka yönetimi, 2025 yılında marjların 300 baz puan artmasını, TL kredilerde enflasyon üzeri büyümeyi ve düşük 30’lu seviyelerde bir özkaynak kârlılığı hedeflemektedir. Piyasa analistlerinin bir kısmı, bu hedefin muhafazakâr olduğunu ve gerçekleşmelerin daha yüksek kârlılığa işaret edebileceğini düşünmektedir. Özellikle faizlerde düşüş eğilimi, Garanti’nin swap maliyetlerini ve fonlama yüklerini hafifletebilir.</w:t>
      </w:r>
    </w:p>
    <w:p w14:paraId="2E046538" w14:textId="77777777" w:rsidR="00997CC3" w:rsidRDefault="00997CC3" w:rsidP="00997CC3">
      <w:pPr>
        <w:pStyle w:val="p2"/>
      </w:pPr>
    </w:p>
    <w:p w14:paraId="79ABD495" w14:textId="77777777" w:rsidR="00997CC3" w:rsidRDefault="00997CC3" w:rsidP="00997CC3">
      <w:pPr>
        <w:pStyle w:val="p3"/>
      </w:pPr>
      <w:r>
        <w:rPr>
          <w:b/>
          <w:bCs/>
        </w:rPr>
        <w:t>Beş Yıllık Eğilim:</w:t>
      </w:r>
    </w:p>
    <w:p w14:paraId="500754A9" w14:textId="77777777" w:rsidR="00997CC3" w:rsidRDefault="00997CC3" w:rsidP="00997CC3">
      <w:pPr>
        <w:pStyle w:val="p4"/>
      </w:pPr>
      <w:r>
        <w:t>2019’dan bu yana pandemi, enflasyon, kur dalgalanmaları ve düzenlemeler gibi çeşitli şoklara karşı dirençli bir performans sergileyen Garanti Bankası, komisyon gelirleri ve aktif kalitesini korumada gösterdiği başarıyla ayrışmaktadır.</w:t>
      </w:r>
    </w:p>
    <w:p w14:paraId="4447ACE3" w14:textId="77777777" w:rsidR="00997CC3" w:rsidRDefault="00997CC3" w:rsidP="00997CC3">
      <w:pPr>
        <w:pStyle w:val="p2"/>
      </w:pPr>
    </w:p>
    <w:p w14:paraId="0CC063F9" w14:textId="77777777" w:rsidR="00997CC3" w:rsidRDefault="00997CC3" w:rsidP="00997CC3">
      <w:pPr>
        <w:pStyle w:val="p3"/>
      </w:pPr>
      <w:r>
        <w:rPr>
          <w:b/>
          <w:bCs/>
        </w:rPr>
        <w:t>Yatırımcılar Açısından Son Söz:</w:t>
      </w:r>
    </w:p>
    <w:p w14:paraId="4BC80353" w14:textId="77777777" w:rsidR="00997CC3" w:rsidRDefault="00997CC3" w:rsidP="00997CC3">
      <w:pPr>
        <w:pStyle w:val="p4"/>
      </w:pPr>
      <w:r>
        <w:t>Garanti Bankası, sektörün genelini etkileyen makro ve regülatif risklerle karşı karşıya olsa da, yönetimin muhafazakâr yaklaşımı ve gelir çeşitliliği bankayı cazip kılan unsurlardır. Özellikle 2025 ve sonrasında Türkiye’de kademeli bir faiz düşüşü bekleyen yatırımcılar için, Garanti Bankası’nın marj iyileştirme potansiyeli öne çıkabilir. Bununla birlikte, kısa vadede makroekonomik belirsizlikler ve regülasyon değişiklikleri bankanın hisse performansında oynaklık yaratabilecektir.</w:t>
      </w:r>
    </w:p>
    <w:p w14:paraId="53346603" w14:textId="77777777" w:rsidR="00997CC3" w:rsidRDefault="00997CC3" w:rsidP="00997CC3">
      <w:pPr>
        <w:pStyle w:val="p1"/>
      </w:pPr>
      <w:r>
        <w:rPr>
          <w:b/>
          <w:bCs/>
        </w:rPr>
        <w:t>8. EKLER VE KAYNAKLAR</w:t>
      </w:r>
    </w:p>
    <w:p w14:paraId="1C3A5948" w14:textId="77777777" w:rsidR="00997CC3" w:rsidRDefault="00997CC3" w:rsidP="00997CC3">
      <w:pPr>
        <w:pStyle w:val="p2"/>
      </w:pPr>
      <w:r>
        <w:rPr>
          <w:rStyle w:val="s1"/>
          <w:rFonts w:eastAsiaTheme="majorEastAsia"/>
        </w:rPr>
        <w:t>1.</w:t>
      </w:r>
      <w:r>
        <w:rPr>
          <w:rStyle w:val="apple-tab-span"/>
          <w:rFonts w:eastAsiaTheme="majorEastAsia"/>
        </w:rPr>
        <w:t xml:space="preserve"> </w:t>
      </w:r>
      <w:r>
        <w:rPr>
          <w:b/>
          <w:bCs/>
        </w:rPr>
        <w:t>KAP Duyuruları:</w:t>
      </w:r>
    </w:p>
    <w:p w14:paraId="057FF0FB" w14:textId="77777777" w:rsidR="00997CC3" w:rsidRDefault="00997CC3" w:rsidP="00997CC3">
      <w:pPr>
        <w:pStyle w:val="p3"/>
      </w:pPr>
      <w:r>
        <w:t xml:space="preserve">Garanti Bankası’nın faaliyet raporları, finansal tabloları ve önemli açıklamaları </w:t>
      </w:r>
      <w:hyperlink r:id="rId5" w:history="1">
        <w:r>
          <w:rPr>
            <w:rStyle w:val="Hyperlink"/>
            <w:rFonts w:eastAsiaTheme="majorEastAsia"/>
          </w:rPr>
          <w:t>KAP</w:t>
        </w:r>
      </w:hyperlink>
      <w:r>
        <w:t xml:space="preserve"> üzerinden takip edilebilir.</w:t>
      </w:r>
    </w:p>
    <w:p w14:paraId="184C8E26" w14:textId="77777777" w:rsidR="00997CC3" w:rsidRDefault="00997CC3" w:rsidP="00997CC3">
      <w:pPr>
        <w:pStyle w:val="p2"/>
      </w:pPr>
      <w:r>
        <w:rPr>
          <w:rStyle w:val="s1"/>
          <w:rFonts w:eastAsiaTheme="majorEastAsia"/>
        </w:rPr>
        <w:t>2.</w:t>
      </w:r>
      <w:r>
        <w:rPr>
          <w:rStyle w:val="apple-tab-span"/>
          <w:rFonts w:eastAsiaTheme="majorEastAsia"/>
        </w:rPr>
        <w:t xml:space="preserve"> </w:t>
      </w:r>
      <w:r>
        <w:rPr>
          <w:b/>
          <w:bCs/>
        </w:rPr>
        <w:t>3Ç24 Kar Analizi ( )</w:t>
      </w:r>
      <w:r>
        <w:rPr>
          <w:rStyle w:val="s1"/>
          <w:rFonts w:eastAsiaTheme="majorEastAsia"/>
        </w:rPr>
        <w:t xml:space="preserve"> ve </w:t>
      </w:r>
      <w:r>
        <w:rPr>
          <w:b/>
          <w:bCs/>
        </w:rPr>
        <w:t>4Ç24 Kar Analizi ( )</w:t>
      </w:r>
      <w:r>
        <w:rPr>
          <w:rStyle w:val="s1"/>
          <w:rFonts w:eastAsiaTheme="majorEastAsia"/>
        </w:rPr>
        <w:t>:</w:t>
      </w:r>
    </w:p>
    <w:p w14:paraId="4BF60DCA" w14:textId="77777777" w:rsidR="00997CC3" w:rsidRDefault="00997CC3" w:rsidP="00997CC3">
      <w:pPr>
        <w:pStyle w:val="p4"/>
      </w:pPr>
      <w:r>
        <w:t>•</w:t>
      </w:r>
      <w:r>
        <w:rPr>
          <w:rStyle w:val="apple-tab-span"/>
          <w:rFonts w:eastAsiaTheme="majorEastAsia"/>
        </w:rPr>
        <w:t xml:space="preserve"> </w:t>
      </w:r>
      <w:r>
        <w:t>Bu raporlar, son iki çeyrekteki temel finansal verileri ve bankanın beklentilerini içermektedir.</w:t>
      </w:r>
    </w:p>
    <w:p w14:paraId="397BCAE3" w14:textId="77777777" w:rsidR="00997CC3" w:rsidRDefault="00997CC3" w:rsidP="00997CC3">
      <w:pPr>
        <w:pStyle w:val="p2"/>
      </w:pPr>
      <w:r>
        <w:rPr>
          <w:rStyle w:val="s1"/>
          <w:rFonts w:eastAsiaTheme="majorEastAsia"/>
        </w:rPr>
        <w:t>3.</w:t>
      </w:r>
      <w:r>
        <w:rPr>
          <w:rStyle w:val="apple-tab-span"/>
          <w:rFonts w:eastAsiaTheme="majorEastAsia"/>
        </w:rPr>
        <w:t xml:space="preserve"> </w:t>
      </w:r>
      <w:r>
        <w:rPr>
          <w:b/>
          <w:bCs/>
        </w:rPr>
        <w:t>Yasal Uyarı:</w:t>
      </w:r>
    </w:p>
    <w:p w14:paraId="5D232B66" w14:textId="77777777" w:rsidR="00997CC3" w:rsidRDefault="00997CC3" w:rsidP="00997CC3">
      <w:pPr>
        <w:pStyle w:val="p3"/>
      </w:pPr>
      <w:r>
        <w:t>Bu rapor yatırım danışmanlığı kapsamında olmayıp, bilgi amaçlı hazırlanmıştır. Herhangi bir yatırım kararı almadan önce, kişinin kendi risk-getiri profilini değerlendirmesi ve gerekmesi durumunda uzman desteği alması önerilir.</w:t>
      </w:r>
    </w:p>
    <w:p w14:paraId="2944C617" w14:textId="77777777" w:rsidR="00997CC3" w:rsidRDefault="00997CC3" w:rsidP="00997CC3">
      <w:pPr>
        <w:pStyle w:val="p5"/>
      </w:pPr>
    </w:p>
    <w:p w14:paraId="4E70389F" w14:textId="77777777" w:rsidR="00997CC3" w:rsidRDefault="00997CC3" w:rsidP="00997CC3">
      <w:pPr>
        <w:pStyle w:val="p6"/>
      </w:pPr>
      <w:r>
        <w:rPr>
          <w:b/>
          <w:bCs/>
        </w:rPr>
        <w:t>Raporun Uzunluğu:</w:t>
      </w:r>
    </w:p>
    <w:p w14:paraId="4239048D" w14:textId="77777777" w:rsidR="00997CC3" w:rsidRDefault="00997CC3" w:rsidP="00997CC3">
      <w:pPr>
        <w:pStyle w:val="p3"/>
      </w:pPr>
      <w:r>
        <w:t>Bu metin, kullanıcı talebi doğrultusunda en az beş sayfalık bir içerik oluşturacak şekilde kapsamlı tutulmaya özen göstermiştir. Daha detaylı bilgi, KAP duyuruları ve banka tarafından yayımlanan yatırımcı sunumlarında bulunabilir.</w:t>
      </w:r>
    </w:p>
    <w:p w14:paraId="2070786E" w14:textId="77777777" w:rsidR="00997CC3" w:rsidRDefault="00997CC3" w:rsidP="00997CC3">
      <w:pPr>
        <w:pStyle w:val="p1"/>
      </w:pPr>
      <w:r>
        <w:rPr>
          <w:b/>
          <w:bCs/>
        </w:rPr>
        <w:t>Genel Değerlendirme:</w:t>
      </w:r>
    </w:p>
    <w:p w14:paraId="15C8DA52" w14:textId="77777777" w:rsidR="00997CC3" w:rsidRDefault="00997CC3" w:rsidP="00997CC3">
      <w:pPr>
        <w:pStyle w:val="p2"/>
      </w:pPr>
      <w:r>
        <w:t>Garanti Bankası (GARAN), güçlü kârlılık yapısı, komisyon gelirlerindeki istikrarlı artış ve muhafazakâr risk yönetimi anlayışı sayesinde, son yıllarda sektörde farklılaşan bir performans sergilemektedir. 2024 sonuçları ve 2025 öngörüleri, bankanın yüksek enflasyon ve faiz ortamını başarılı şekilde yönetebildiğine işaret etmektedir. Uzun vadede faizlerdeki olası gerileme, kârlılık artışının ve piyasa değerinin destekleyicisi olabilir. Kısa vadede ise makroekonomik koşullar, düzenleyici çerçevede olası değişiklikler ve kur oynaklığı gibi faktörler dikkatle izlenmelidir.</w:t>
      </w:r>
    </w:p>
    <w:p w14:paraId="68015581" w14:textId="77777777" w:rsidR="001C0A21" w:rsidRDefault="001C0A21"/>
    <w:sectPr w:rsidR="001C0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CC3"/>
    <w:rsid w:val="001C0A21"/>
    <w:rsid w:val="00750BED"/>
    <w:rsid w:val="00785204"/>
    <w:rsid w:val="00997CC3"/>
    <w:rsid w:val="00F20B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295B971"/>
  <w15:chartTrackingRefBased/>
  <w15:docId w15:val="{C33380A1-4DB7-8C4E-840A-46395F461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C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7C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7C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7C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7C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7C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7C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7C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7C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C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7C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7C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7C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7C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7C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7C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7C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7CC3"/>
    <w:rPr>
      <w:rFonts w:eastAsiaTheme="majorEastAsia" w:cstheme="majorBidi"/>
      <w:color w:val="272727" w:themeColor="text1" w:themeTint="D8"/>
    </w:rPr>
  </w:style>
  <w:style w:type="paragraph" w:styleId="Title">
    <w:name w:val="Title"/>
    <w:basedOn w:val="Normal"/>
    <w:next w:val="Normal"/>
    <w:link w:val="TitleChar"/>
    <w:uiPriority w:val="10"/>
    <w:qFormat/>
    <w:rsid w:val="00997C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C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7C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7C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7CC3"/>
    <w:pPr>
      <w:spacing w:before="160"/>
      <w:jc w:val="center"/>
    </w:pPr>
    <w:rPr>
      <w:i/>
      <w:iCs/>
      <w:color w:val="404040" w:themeColor="text1" w:themeTint="BF"/>
    </w:rPr>
  </w:style>
  <w:style w:type="character" w:customStyle="1" w:styleId="QuoteChar">
    <w:name w:val="Quote Char"/>
    <w:basedOn w:val="DefaultParagraphFont"/>
    <w:link w:val="Quote"/>
    <w:uiPriority w:val="29"/>
    <w:rsid w:val="00997CC3"/>
    <w:rPr>
      <w:i/>
      <w:iCs/>
      <w:color w:val="404040" w:themeColor="text1" w:themeTint="BF"/>
    </w:rPr>
  </w:style>
  <w:style w:type="paragraph" w:styleId="ListParagraph">
    <w:name w:val="List Paragraph"/>
    <w:basedOn w:val="Normal"/>
    <w:uiPriority w:val="34"/>
    <w:qFormat/>
    <w:rsid w:val="00997CC3"/>
    <w:pPr>
      <w:ind w:left="720"/>
      <w:contextualSpacing/>
    </w:pPr>
  </w:style>
  <w:style w:type="character" w:styleId="IntenseEmphasis">
    <w:name w:val="Intense Emphasis"/>
    <w:basedOn w:val="DefaultParagraphFont"/>
    <w:uiPriority w:val="21"/>
    <w:qFormat/>
    <w:rsid w:val="00997CC3"/>
    <w:rPr>
      <w:i/>
      <w:iCs/>
      <w:color w:val="0F4761" w:themeColor="accent1" w:themeShade="BF"/>
    </w:rPr>
  </w:style>
  <w:style w:type="paragraph" w:styleId="IntenseQuote">
    <w:name w:val="Intense Quote"/>
    <w:basedOn w:val="Normal"/>
    <w:next w:val="Normal"/>
    <w:link w:val="IntenseQuoteChar"/>
    <w:uiPriority w:val="30"/>
    <w:qFormat/>
    <w:rsid w:val="00997C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7CC3"/>
    <w:rPr>
      <w:i/>
      <w:iCs/>
      <w:color w:val="0F4761" w:themeColor="accent1" w:themeShade="BF"/>
    </w:rPr>
  </w:style>
  <w:style w:type="character" w:styleId="IntenseReference">
    <w:name w:val="Intense Reference"/>
    <w:basedOn w:val="DefaultParagraphFont"/>
    <w:uiPriority w:val="32"/>
    <w:qFormat/>
    <w:rsid w:val="00997CC3"/>
    <w:rPr>
      <w:b/>
      <w:bCs/>
      <w:smallCaps/>
      <w:color w:val="0F4761" w:themeColor="accent1" w:themeShade="BF"/>
      <w:spacing w:val="5"/>
    </w:rPr>
  </w:style>
  <w:style w:type="paragraph" w:customStyle="1" w:styleId="p1">
    <w:name w:val="p1"/>
    <w:basedOn w:val="Normal"/>
    <w:rsid w:val="00997CC3"/>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997CC3"/>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997CC3"/>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4">
    <w:name w:val="p4"/>
    <w:basedOn w:val="Normal"/>
    <w:rsid w:val="00997CC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997CC3"/>
  </w:style>
  <w:style w:type="character" w:customStyle="1" w:styleId="s1">
    <w:name w:val="s1"/>
    <w:basedOn w:val="DefaultParagraphFont"/>
    <w:rsid w:val="00997CC3"/>
  </w:style>
  <w:style w:type="character" w:styleId="Hyperlink">
    <w:name w:val="Hyperlink"/>
    <w:basedOn w:val="DefaultParagraphFont"/>
    <w:uiPriority w:val="99"/>
    <w:semiHidden/>
    <w:unhideWhenUsed/>
    <w:rsid w:val="00997CC3"/>
    <w:rPr>
      <w:color w:val="0000FF"/>
      <w:u w:val="single"/>
    </w:rPr>
  </w:style>
  <w:style w:type="paragraph" w:customStyle="1" w:styleId="p5">
    <w:name w:val="p5"/>
    <w:basedOn w:val="Normal"/>
    <w:rsid w:val="00997CC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997CC3"/>
  </w:style>
  <w:style w:type="paragraph" w:customStyle="1" w:styleId="p6">
    <w:name w:val="p6"/>
    <w:basedOn w:val="Normal"/>
    <w:rsid w:val="00997CC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3">
    <w:name w:val="s3"/>
    <w:basedOn w:val="DefaultParagraphFont"/>
    <w:rsid w:val="00997CC3"/>
  </w:style>
  <w:style w:type="character" w:customStyle="1" w:styleId="apple-converted-space">
    <w:name w:val="apple-converted-space"/>
    <w:basedOn w:val="DefaultParagraphFont"/>
    <w:rsid w:val="00997CC3"/>
  </w:style>
  <w:style w:type="paragraph" w:customStyle="1" w:styleId="p7">
    <w:name w:val="p7"/>
    <w:basedOn w:val="Normal"/>
    <w:rsid w:val="00997CC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718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p.org.tr/tr/sirket-bilgileri/ozet/4028e4a140f2ed720140f37cb2a601b7" TargetMode="External"/><Relationship Id="rId4" Type="http://schemas.openxmlformats.org/officeDocument/2006/relationships/hyperlink" Target="https://www.kap.org.tr/tr/sirket-bilgileri/ozet/4028e4a140f2ed720140f37cb2a601b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2196</Words>
  <Characters>12520</Characters>
  <Application>Microsoft Office Word</Application>
  <DocSecurity>0</DocSecurity>
  <Lines>104</Lines>
  <Paragraphs>29</Paragraphs>
  <ScaleCrop>false</ScaleCrop>
  <Company/>
  <LinksUpToDate>false</LinksUpToDate>
  <CharactersWithSpaces>14687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Zagnos</dc:creator>
  <cp:keywords/>
  <dc:description/>
  <cp:lastModifiedBy>Can Zagnos</cp:lastModifiedBy>
  <cp:revision>1</cp:revision>
  <dcterms:created xsi:type="dcterms:W3CDTF">2025-02-14T13:56:00Z</dcterms:created>
  <dcterms:modified xsi:type="dcterms:W3CDTF">2025-02-14T13:57:00Z</dcterms:modified>
</cp:coreProperties>
</file>