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D39" w:rsidRDefault="00374B07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Use of a static code analysis tool can help detect some possible problems.</w:t>
      </w:r>
      <w:r>
        <w:br/>
        <w:t>Many applications use a mix of several languages in their construction and use.</w:t>
      </w:r>
      <w:r>
        <w:br/>
        <w:t>Later a control panel (plug board) added to his 1906 Type I Tabulator allowed it to be programmed for different jobs, and by the late 1940s, unit record equipment such</w:t>
      </w:r>
      <w:r>
        <w:t xml:space="preserve"> as the IBM 602 and IBM 604, were programmed by control panels in a similar way, as were the first electronic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Whatever the approach to development may be, the final program must satisfy some fundamental properties.</w:t>
      </w:r>
      <w:r>
        <w:br/>
        <w:t>There are many approaches to the Software development process.</w:t>
      </w:r>
      <w:r>
        <w:br/>
        <w:t xml:space="preserve"> After the</w:t>
      </w:r>
      <w:r>
        <w:t xml:space="preserve"> bug is reproduced, the input of the program may need to be simplified to make it easier to debug.</w:t>
      </w:r>
      <w:r>
        <w:br/>
        <w:t>A study found that a few simple readability transformations made code shorter and drastically reduced the time to understand it.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Different programming languages support different styles of programming (called programming paradigms).</w:t>
      </w:r>
      <w:r>
        <w:br/>
        <w:t>Scripting and breakpointing is also part</w:t>
      </w:r>
      <w:r>
        <w:t xml:space="preserve"> of this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D16D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097202">
    <w:abstractNumId w:val="8"/>
  </w:num>
  <w:num w:numId="2" w16cid:durableId="375205738">
    <w:abstractNumId w:val="6"/>
  </w:num>
  <w:num w:numId="3" w16cid:durableId="559944342">
    <w:abstractNumId w:val="5"/>
  </w:num>
  <w:num w:numId="4" w16cid:durableId="1502693375">
    <w:abstractNumId w:val="4"/>
  </w:num>
  <w:num w:numId="5" w16cid:durableId="1379092397">
    <w:abstractNumId w:val="7"/>
  </w:num>
  <w:num w:numId="6" w16cid:durableId="475145794">
    <w:abstractNumId w:val="3"/>
  </w:num>
  <w:num w:numId="7" w16cid:durableId="988048771">
    <w:abstractNumId w:val="2"/>
  </w:num>
  <w:num w:numId="8" w16cid:durableId="1812013788">
    <w:abstractNumId w:val="1"/>
  </w:num>
  <w:num w:numId="9" w16cid:durableId="131691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B07"/>
    <w:rsid w:val="00AA1D8D"/>
    <w:rsid w:val="00B47730"/>
    <w:rsid w:val="00CB0664"/>
    <w:rsid w:val="00D16D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