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03D" w:rsidRDefault="00E2679D">
      <w:r>
        <w:t>Many programmers use forms of Agile software development where the various stages of formal software development are more integrated together into short cycles that take a few weeks rather than years..</w:t>
      </w:r>
      <w:r>
        <w:br/>
      </w:r>
      <w: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w:t>
      </w:r>
      <w:r>
        <w:t>and skills.</w:t>
      </w:r>
      <w:r>
        <w:br/>
        <w:t>Also, specific user environment and usage history can make it difficult to reproduce the problem.</w:t>
      </w:r>
      <w:r>
        <w:br/>
        <w:t xml:space="preserve"> Allen Downey, in his book How To Think Like A Computer Scientist, writes:</w:t>
      </w:r>
      <w:r>
        <w:br/>
        <w:t xml:space="preserve"> Many computer languages provide a mechanism to call functions provided by shared libraries.</w:t>
      </w:r>
      <w:r>
        <w:br/>
        <w:t>He gave the first description of cryptanalysis by frequency analysis, the earliest code-breaking algorithm.</w:t>
      </w:r>
      <w:r>
        <w:br/>
        <w:t>Sometimes software development is known as software engineering, especially when it employs formal methods or follows an engin</w:t>
      </w:r>
      <w:r>
        <w:t>eering design process.</w:t>
      </w:r>
      <w:r>
        <w:br/>
        <w:t>For this purpose,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r>
        <w:br/>
        <w:t>Normally the first step in debugging is to attempt to reproduce the problem.</w:t>
      </w:r>
      <w:r>
        <w:br/>
        <w:t>Programming languages are essential for software development.</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p>
    <w:sectPr w:rsidR="00D360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059171">
    <w:abstractNumId w:val="8"/>
  </w:num>
  <w:num w:numId="2" w16cid:durableId="809594454">
    <w:abstractNumId w:val="6"/>
  </w:num>
  <w:num w:numId="3" w16cid:durableId="1777557781">
    <w:abstractNumId w:val="5"/>
  </w:num>
  <w:num w:numId="4" w16cid:durableId="1988624780">
    <w:abstractNumId w:val="4"/>
  </w:num>
  <w:num w:numId="5" w16cid:durableId="1163740934">
    <w:abstractNumId w:val="7"/>
  </w:num>
  <w:num w:numId="6" w16cid:durableId="1558975719">
    <w:abstractNumId w:val="3"/>
  </w:num>
  <w:num w:numId="7" w16cid:durableId="1228222460">
    <w:abstractNumId w:val="2"/>
  </w:num>
  <w:num w:numId="8" w16cid:durableId="1533574651">
    <w:abstractNumId w:val="1"/>
  </w:num>
  <w:num w:numId="9" w16cid:durableId="11279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603D"/>
    <w:rsid w:val="00E267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