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F5" w:rsidRDefault="000C3927">
      <w:r>
        <w:t xml:space="preserve"> Different programming languages support different styles of programming (called programming paradigms)..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Normally the first step in debugging is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Programmable devices have existed for centuries.</w:t>
      </w:r>
      <w:r>
        <w:br/>
        <w:t xml:space="preserve"> Machine code was the language of early programs, writ</w:t>
      </w:r>
      <w:r>
        <w:t>ten in the instruction set of the particular machine, often in binary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>As early as the 9th century, a pr</w:t>
      </w:r>
      <w:r>
        <w:t>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>Many applications use a mix of several languages in their construction and use.</w:t>
      </w:r>
      <w:r>
        <w:br/>
        <w:t xml:space="preserve"> New languages are generally designed around the syntax of a prior language with new functionality added, (for example C++ adds object-orientation to C, and Java adds</w:t>
      </w:r>
      <w:r>
        <w:t xml:space="preserve"> memory management and bytecode to C++, but as a result, loses efficiency and the ability for low-level manipulation).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 Modeling (ER Modeling).</w:t>
      </w:r>
      <w:r>
        <w:br/>
        <w:t>Some of these factors include:</w:t>
      </w:r>
      <w:r>
        <w:br/>
        <w:t xml:space="preserve"> The presentation aspects of this (such as indents, line breaks, color highlig</w:t>
      </w:r>
      <w:r>
        <w:t>hting, and so on) are often handled by the source code editor, but the content aspects reflect the programmer's talent and skills.</w:t>
      </w:r>
    </w:p>
    <w:sectPr w:rsidR="008D5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237490">
    <w:abstractNumId w:val="8"/>
  </w:num>
  <w:num w:numId="2" w16cid:durableId="1836218954">
    <w:abstractNumId w:val="6"/>
  </w:num>
  <w:num w:numId="3" w16cid:durableId="610016104">
    <w:abstractNumId w:val="5"/>
  </w:num>
  <w:num w:numId="4" w16cid:durableId="735084050">
    <w:abstractNumId w:val="4"/>
  </w:num>
  <w:num w:numId="5" w16cid:durableId="736123851">
    <w:abstractNumId w:val="7"/>
  </w:num>
  <w:num w:numId="6" w16cid:durableId="1042513515">
    <w:abstractNumId w:val="3"/>
  </w:num>
  <w:num w:numId="7" w16cid:durableId="1261987783">
    <w:abstractNumId w:val="2"/>
  </w:num>
  <w:num w:numId="8" w16cid:durableId="127939079">
    <w:abstractNumId w:val="1"/>
  </w:num>
  <w:num w:numId="9" w16cid:durableId="189557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927"/>
    <w:rsid w:val="0015074B"/>
    <w:rsid w:val="0029639D"/>
    <w:rsid w:val="00326F90"/>
    <w:rsid w:val="008D52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