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9E3" w:rsidRDefault="00537ABE">
      <w:r>
        <w:t>There are many approaches to the Software development process..</w:t>
      </w:r>
      <w:r>
        <w:br/>
        <w:t xml:space="preserve">Assembly languages were soon developed that let the programmer specify instruction in a text format (e.g., ADD X, TOTAL), with abbreviations for each operation code and meaningful names for </w:t>
      </w:r>
      <w:r>
        <w:t>specifying addresses.</w:t>
      </w:r>
      <w:r>
        <w:br/>
        <w:t xml:space="preserve"> Readability is important because programmers spend the majority of their time reading, trying to understand, reusing and modifying existing source code, rather than writing new source code.</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For example, COBOL is still strong in corporate da</w:t>
      </w:r>
      <w:r>
        <w:t>ta centers often on large mainframe computers, Fortran in engineering applications, scripting languages in Web development, and C in embedded software.</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w:t>
      </w:r>
      <w:r>
        <w:t>6 Type I 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 xml:space="preserve"> After the bug is reproduced, the input of the pr</w:t>
      </w:r>
      <w:r>
        <w:t>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One approach popular for requirements analysis is Use Case analysis.</w:t>
      </w:r>
      <w:r>
        <w:br/>
        <w:t xml:space="preserve"> Programmable devices have existed for centur</w:t>
      </w:r>
      <w:r>
        <w:t>ies.</w:t>
      </w:r>
    </w:p>
    <w:sectPr w:rsidR="00A869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1213907">
    <w:abstractNumId w:val="8"/>
  </w:num>
  <w:num w:numId="2" w16cid:durableId="1159806757">
    <w:abstractNumId w:val="6"/>
  </w:num>
  <w:num w:numId="3" w16cid:durableId="1249923567">
    <w:abstractNumId w:val="5"/>
  </w:num>
  <w:num w:numId="4" w16cid:durableId="1635670197">
    <w:abstractNumId w:val="4"/>
  </w:num>
  <w:num w:numId="5" w16cid:durableId="1555628171">
    <w:abstractNumId w:val="7"/>
  </w:num>
  <w:num w:numId="6" w16cid:durableId="1639219138">
    <w:abstractNumId w:val="3"/>
  </w:num>
  <w:num w:numId="7" w16cid:durableId="1104812826">
    <w:abstractNumId w:val="2"/>
  </w:num>
  <w:num w:numId="8" w16cid:durableId="2023042962">
    <w:abstractNumId w:val="1"/>
  </w:num>
  <w:num w:numId="9" w16cid:durableId="210868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ABE"/>
    <w:rsid w:val="00A869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