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32E" w:rsidRDefault="001B50C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>The choice</w:t>
      </w:r>
      <w:r>
        <w:t xml:space="preserve"> of language used is subject to many considerations, such as company policy, 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</w:t>
      </w:r>
      <w:r>
        <w:t>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Later a control panel (plug board) added to his 1906 Type I Tabulator allowed it to be programmed for diff</w:t>
      </w:r>
      <w:r>
        <w:t>erent jobs, and by the late 1940s, unit record equipment such as the IBM 602 and IBM 604, were programmed by control panels in a similar way, as were the first electronic computers.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D23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554491">
    <w:abstractNumId w:val="8"/>
  </w:num>
  <w:num w:numId="2" w16cid:durableId="1789465322">
    <w:abstractNumId w:val="6"/>
  </w:num>
  <w:num w:numId="3" w16cid:durableId="383141892">
    <w:abstractNumId w:val="5"/>
  </w:num>
  <w:num w:numId="4" w16cid:durableId="747192397">
    <w:abstractNumId w:val="4"/>
  </w:num>
  <w:num w:numId="5" w16cid:durableId="1865098744">
    <w:abstractNumId w:val="7"/>
  </w:num>
  <w:num w:numId="6" w16cid:durableId="1856922844">
    <w:abstractNumId w:val="3"/>
  </w:num>
  <w:num w:numId="7" w16cid:durableId="1880388693">
    <w:abstractNumId w:val="2"/>
  </w:num>
  <w:num w:numId="8" w16cid:durableId="756290719">
    <w:abstractNumId w:val="1"/>
  </w:num>
  <w:num w:numId="9" w16cid:durableId="45406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0C6"/>
    <w:rsid w:val="0029639D"/>
    <w:rsid w:val="00326F90"/>
    <w:rsid w:val="00AA1D8D"/>
    <w:rsid w:val="00B47730"/>
    <w:rsid w:val="00CB0664"/>
    <w:rsid w:val="00CD2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