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858" w:rsidRDefault="0045174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 languages were soon developed—i</w:t>
      </w:r>
      <w:r>
        <w:t>n particular, COBOL aimed at commercial data processing, and Lisp for computer research.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</w:t>
      </w:r>
      <w:r>
        <w:t>ent.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</w:t>
      </w:r>
      <w:r>
        <w:t>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880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518675">
    <w:abstractNumId w:val="8"/>
  </w:num>
  <w:num w:numId="2" w16cid:durableId="782462226">
    <w:abstractNumId w:val="6"/>
  </w:num>
  <w:num w:numId="3" w16cid:durableId="970134399">
    <w:abstractNumId w:val="5"/>
  </w:num>
  <w:num w:numId="4" w16cid:durableId="496505514">
    <w:abstractNumId w:val="4"/>
  </w:num>
  <w:num w:numId="5" w16cid:durableId="961378733">
    <w:abstractNumId w:val="7"/>
  </w:num>
  <w:num w:numId="6" w16cid:durableId="777456781">
    <w:abstractNumId w:val="3"/>
  </w:num>
  <w:num w:numId="7" w16cid:durableId="1924609349">
    <w:abstractNumId w:val="2"/>
  </w:num>
  <w:num w:numId="8" w16cid:durableId="476533641">
    <w:abstractNumId w:val="1"/>
  </w:num>
  <w:num w:numId="9" w16cid:durableId="16785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744"/>
    <w:rsid w:val="008808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