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D78" w:rsidRDefault="005B29BC">
      <w:r>
        <w:t>Many factors, having little or nothing to do with the ability of the computer to efficiently compile and execute the code, contribute to readability..</w:t>
      </w:r>
      <w:r>
        <w:br/>
        <w:t xml:space="preserve">They are the building blocks for all software, from the simplest applications to the most </w:t>
      </w:r>
      <w:r>
        <w:t>sophisticated ones.</w:t>
      </w:r>
      <w:r>
        <w:br/>
        <w:t xml:space="preserve"> Computer programmers are those who write computer software.</w:t>
      </w:r>
      <w:r>
        <w:br/>
      </w:r>
      <w:r>
        <w:b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Case analysis.</w:t>
      </w:r>
      <w:r>
        <w:br/>
        <w:t>Compilers harness</w:t>
      </w:r>
      <w:r>
        <w:t>ed the power of computers to make programming easier by allowing programmers to specify calculations by entering a formula using infix notation.</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Integrated development environments (IDEs) aim to integrate all such help.</w:t>
      </w:r>
      <w:r>
        <w:br/>
        <w:t>Methods of measuring programm</w:t>
      </w:r>
      <w:r>
        <w:t>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Provided the functions in a library follow the appropriate run-time conventions (e.g., method of passing arguments), then these functions </w:t>
      </w:r>
      <w:r>
        <w:t>may be written in any other language.</w:t>
      </w:r>
      <w:r>
        <w:br/>
        <w:t xml:space="preserve"> Code-breaking algorithms have also existed for centuries.</w:t>
      </w:r>
      <w:r>
        <w:br/>
        <w:t>Normally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p>
    <w:sectPr w:rsidR="00130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395102">
    <w:abstractNumId w:val="8"/>
  </w:num>
  <w:num w:numId="2" w16cid:durableId="1540194265">
    <w:abstractNumId w:val="6"/>
  </w:num>
  <w:num w:numId="3" w16cid:durableId="7483623">
    <w:abstractNumId w:val="5"/>
  </w:num>
  <w:num w:numId="4" w16cid:durableId="1356997248">
    <w:abstractNumId w:val="4"/>
  </w:num>
  <w:num w:numId="5" w16cid:durableId="1189875236">
    <w:abstractNumId w:val="7"/>
  </w:num>
  <w:num w:numId="6" w16cid:durableId="1284575267">
    <w:abstractNumId w:val="3"/>
  </w:num>
  <w:num w:numId="7" w16cid:durableId="1426681719">
    <w:abstractNumId w:val="2"/>
  </w:num>
  <w:num w:numId="8" w16cid:durableId="823276458">
    <w:abstractNumId w:val="1"/>
  </w:num>
  <w:num w:numId="9" w16cid:durableId="83238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D78"/>
    <w:rsid w:val="0015074B"/>
    <w:rsid w:val="0029639D"/>
    <w:rsid w:val="00326F90"/>
    <w:rsid w:val="005B29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