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64B" w:rsidRDefault="00885561">
      <w:r>
        <w:t xml:space="preserve"> Whatever the approach to development may be, the final program must satisfy some fundamental properties..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Text editors were also developed that allowed changes and corrections to be made much more easily than with punched cards.</w:t>
      </w:r>
      <w:r>
        <w:br/>
        <w:t>Some of these factors include:</w:t>
      </w:r>
      <w:r>
        <w:br/>
        <w:t xml:space="preserve"> The presentation aspects of this (such as indents, line </w:t>
      </w:r>
      <w:r>
        <w:t>breaks, color highlighting, and so on) are often handled by the source code editor, but the content aspects reflect the programmer's talent and skills.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Compilers harnessed the power of computers to make programming easier by allowing programmers to specify calculations by entering a formula using infix notatio</w:t>
      </w:r>
      <w:r>
        <w:t>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of</w:t>
      </w:r>
      <w:r>
        <w:t xml:space="preserve"> the number of existing lines of code written in the language (this underestimates the number of users of business languages such as COBOL).</w:t>
      </w:r>
      <w:r>
        <w:br/>
        <w:t>Sometimes software development is known as software engineering, especially when it employs formal methods or follows an engineering design process.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</w:t>
      </w:r>
      <w:r>
        <w:t xml:space="preserve"> panels in a similar way, as were the first electronic computers.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</w:p>
    <w:sectPr w:rsidR="008F2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190502">
    <w:abstractNumId w:val="8"/>
  </w:num>
  <w:num w:numId="2" w16cid:durableId="368841933">
    <w:abstractNumId w:val="6"/>
  </w:num>
  <w:num w:numId="3" w16cid:durableId="2026127781">
    <w:abstractNumId w:val="5"/>
  </w:num>
  <w:num w:numId="4" w16cid:durableId="1943342615">
    <w:abstractNumId w:val="4"/>
  </w:num>
  <w:num w:numId="5" w16cid:durableId="1735421940">
    <w:abstractNumId w:val="7"/>
  </w:num>
  <w:num w:numId="6" w16cid:durableId="540633769">
    <w:abstractNumId w:val="3"/>
  </w:num>
  <w:num w:numId="7" w16cid:durableId="1673679369">
    <w:abstractNumId w:val="2"/>
  </w:num>
  <w:num w:numId="8" w16cid:durableId="1333558261">
    <w:abstractNumId w:val="1"/>
  </w:num>
  <w:num w:numId="9" w16cid:durableId="53126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5561"/>
    <w:rsid w:val="008F26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