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02F" w:rsidRDefault="0039784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 xml:space="preserve"> Following a consistent programming style often helps readability.</w:t>
      </w:r>
      <w:r>
        <w:br/>
        <w:t>There exist a lot of different approaches for each of those tasks.</w:t>
      </w:r>
      <w:r>
        <w:br/>
        <w:t xml:space="preserve"> Different programming languages support different styles of programming (called programming paradigms).</w:t>
      </w:r>
      <w:r>
        <w:br/>
        <w:t>For this purpose, algorithms are classified into orders using so-called Big O notation, which expresses resource use, such as execution time or memory consumption, in terms of the size of an input.</w:t>
      </w:r>
      <w:r>
        <w:br/>
        <w:t>In 18</w:t>
      </w:r>
      <w:r>
        <w:t>01, the Jacquard loom could produce entirely different weaves by changing the "program" – a series of pasteboard cards with holes punched in them.</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Techniques like Code refactoring can enhance readability.</w:t>
      </w:r>
      <w:r>
        <w:br/>
        <w:t>Later a control panel (plug board) added to his 1906</w:t>
      </w:r>
      <w:r>
        <w:t xml:space="preserve">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t xml:space="preserve"> Code-breaking algorithms have also existed for centuries.</w:t>
      </w:r>
      <w:r>
        <w:br/>
        <w:t xml:space="preserve"> Computer programmers are those who write computer software.</w:t>
      </w:r>
      <w:r>
        <w:br/>
        <w:t>For example, COBOL is still strong in corporate data centers often on larg</w:t>
      </w:r>
      <w:r>
        <w:t>e mainframe computers, Fortran in engineering applications, scripting languages in Web development, and C in embedded software.</w:t>
      </w:r>
    </w:p>
    <w:sectPr w:rsidR="00364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937784">
    <w:abstractNumId w:val="8"/>
  </w:num>
  <w:num w:numId="2" w16cid:durableId="725370892">
    <w:abstractNumId w:val="6"/>
  </w:num>
  <w:num w:numId="3" w16cid:durableId="1385176977">
    <w:abstractNumId w:val="5"/>
  </w:num>
  <w:num w:numId="4" w16cid:durableId="1019281485">
    <w:abstractNumId w:val="4"/>
  </w:num>
  <w:num w:numId="5" w16cid:durableId="371852077">
    <w:abstractNumId w:val="7"/>
  </w:num>
  <w:num w:numId="6" w16cid:durableId="2022462910">
    <w:abstractNumId w:val="3"/>
  </w:num>
  <w:num w:numId="7" w16cid:durableId="644506615">
    <w:abstractNumId w:val="2"/>
  </w:num>
  <w:num w:numId="8" w16cid:durableId="1355377575">
    <w:abstractNumId w:val="1"/>
  </w:num>
  <w:num w:numId="9" w16cid:durableId="207061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02F"/>
    <w:rsid w:val="003978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