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C84" w:rsidRDefault="009A6A31">
      <w:r>
        <w:t>There are many approaches to the Software development process..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For example, COBOL is still strong</w:t>
      </w:r>
      <w:r>
        <w:t xml:space="preserve"> in corporate data centers often on large mainframe computers, Fortran in engineering applications, scripting languages in Web development, and C in embedded software.</w:t>
      </w:r>
      <w:r>
        <w:br/>
        <w:t>It is usually easier to code in "high-level" languages than in "low-level" ones.</w:t>
      </w:r>
      <w:r>
        <w:br/>
        <w:t>Languages form an approximate spectrum from "low-level" to "high-level"; "low-level" languages are typically more machine-oriented and faster to execute, whereas "high-level" languages are more abstract and easier to use but execute less quickly.</w:t>
      </w:r>
      <w:r>
        <w:br/>
        <w:t>FORTRAN, the fir</w:t>
      </w:r>
      <w:r>
        <w:t>st widely used high-level language to have a functional implementation, came out in 1957, and many other languages were soon developed—in particular, COBOL aimed at commercial data processing, and Lisp for computer research.</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w:t>
      </w:r>
      <w:r>
        <w:t>nism to call functions provided by shared libraries.</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have also been developed with the in</w:t>
      </w:r>
      <w:r>
        <w:t>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Provided the functions in a library follow the appropriate run-time conventions (e.g., method of passing arguments), then these functions may be written in any other language.</w:t>
      </w:r>
    </w:p>
    <w:sectPr w:rsidR="00826C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55368">
    <w:abstractNumId w:val="8"/>
  </w:num>
  <w:num w:numId="2" w16cid:durableId="1224951421">
    <w:abstractNumId w:val="6"/>
  </w:num>
  <w:num w:numId="3" w16cid:durableId="1126512559">
    <w:abstractNumId w:val="5"/>
  </w:num>
  <w:num w:numId="4" w16cid:durableId="594288028">
    <w:abstractNumId w:val="4"/>
  </w:num>
  <w:num w:numId="5" w16cid:durableId="1973360092">
    <w:abstractNumId w:val="7"/>
  </w:num>
  <w:num w:numId="6" w16cid:durableId="822935958">
    <w:abstractNumId w:val="3"/>
  </w:num>
  <w:num w:numId="7" w16cid:durableId="707876066">
    <w:abstractNumId w:val="2"/>
  </w:num>
  <w:num w:numId="8" w16cid:durableId="1906910074">
    <w:abstractNumId w:val="1"/>
  </w:num>
  <w:num w:numId="9" w16cid:durableId="41420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6C84"/>
    <w:rsid w:val="009A6A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