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CB2" w:rsidRDefault="00DC67B6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factors, having little or nothing to do with the ability of the computer to efficiently compile and execute the code, contribute to readability.</w:t>
      </w:r>
      <w:r>
        <w:br/>
        <w:t>This can be a non-trivial task, for example as with parallel processes or some unusual software bugs.</w:t>
      </w:r>
      <w:r>
        <w:br/>
        <w:t>Programmers typically use high-level programming languages that are mo</w:t>
      </w:r>
      <w:r>
        <w:t>re easily intelligible to humans than machine code, which is directly executed by the central processing unit.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 similar technique used for database design is Entity-Relationship Modeling (ER Modeling).</w:t>
      </w:r>
      <w:r>
        <w:br/>
        <w:t>Provided the functions in a library follow the appropriate run-time conventions (e.g., method of</w:t>
      </w:r>
      <w:r>
        <w:t xml:space="preserve"> passing arguments), then these functions may be written in any other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Machine code was the language of early programs, written in the instruction set of the particular machine, often in binary notation.</w:t>
      </w:r>
      <w:r>
        <w:br/>
        <w:t>When debugging the problem in a GUI, the programmer can try to skip some user interaction from the original problem description and c</w:t>
      </w:r>
      <w:r>
        <w:t>heck if remaining actions are sufficient for bugs to appear.</w:t>
      </w:r>
      <w:r>
        <w:br/>
        <w:t>It affects the aspects of quality above, including portability, usability and most importantly maintainability.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Compilers harnessed the power of computers to make programming easier by allowing programmers to specify calculations by entering a formula </w:t>
      </w:r>
      <w:r>
        <w:t>using infix notation.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CA1C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575647">
    <w:abstractNumId w:val="8"/>
  </w:num>
  <w:num w:numId="2" w16cid:durableId="1099134112">
    <w:abstractNumId w:val="6"/>
  </w:num>
  <w:num w:numId="3" w16cid:durableId="715006273">
    <w:abstractNumId w:val="5"/>
  </w:num>
  <w:num w:numId="4" w16cid:durableId="878593916">
    <w:abstractNumId w:val="4"/>
  </w:num>
  <w:num w:numId="5" w16cid:durableId="1172141704">
    <w:abstractNumId w:val="7"/>
  </w:num>
  <w:num w:numId="6" w16cid:durableId="6979114">
    <w:abstractNumId w:val="3"/>
  </w:num>
  <w:num w:numId="7" w16cid:durableId="372922937">
    <w:abstractNumId w:val="2"/>
  </w:num>
  <w:num w:numId="8" w16cid:durableId="308440270">
    <w:abstractNumId w:val="1"/>
  </w:num>
  <w:num w:numId="9" w16cid:durableId="182990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1CB2"/>
    <w:rsid w:val="00CB0664"/>
    <w:rsid w:val="00DC67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