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355" w:rsidRDefault="009F488C">
      <w:r>
        <w:t>Integrated development environments (IDEs) aim to integrate all such help..</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t xml:space="preserve"> Code-breaking algorithms have also existed for centuries.</w:t>
      </w:r>
      <w:r>
        <w:br/>
        <w:t>There are many approaches to the Software development process.</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w:t>
      </w:r>
      <w:r>
        <w:t>the content aspects reflect the programmer's talent and skills.</w:t>
      </w:r>
      <w:r>
        <w:br/>
        <w:t>For this purpose, algorithms are classified into orders using so-called Big O notation, which expresses resource use, such as execution time or memory consumption, in terms of the size of an input.</w:t>
      </w:r>
      <w:r>
        <w:br/>
        <w:t>However, with the concept of the stored-program computer introduced in 1949, both programs and data were stored and manipulated in the same way in computer memory.</w:t>
      </w:r>
      <w:r>
        <w:br/>
        <w:t>Many factors, having little or nothing to do with the ability of the computer to effic</w:t>
      </w:r>
      <w:r>
        <w:t>iently compile and execute the code, contribute to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Different programming languages support different styles of programming (called programming paradigms).</w:t>
      </w:r>
      <w:r>
        <w:br/>
        <w:t>However, Charles Babbage had already written his first pro</w:t>
      </w:r>
      <w:r>
        <w:t>gram for the Analytical Engine in 1837.</w:t>
      </w:r>
      <w:r>
        <w:br/>
        <w:t>Assembly languages were soon developed that let the programmer specify instruction in a text format (e.g., ADD X, TOTAL), with abbreviations for each operation code and meaningful names for specifying addresses.</w:t>
      </w:r>
      <w:r>
        <w:br/>
        <w:t>Normally the first step in debugging is to attempt to reproduce the problem.</w:t>
      </w:r>
    </w:p>
    <w:sectPr w:rsidR="004863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9692289">
    <w:abstractNumId w:val="8"/>
  </w:num>
  <w:num w:numId="2" w16cid:durableId="315189247">
    <w:abstractNumId w:val="6"/>
  </w:num>
  <w:num w:numId="3" w16cid:durableId="1422606639">
    <w:abstractNumId w:val="5"/>
  </w:num>
  <w:num w:numId="4" w16cid:durableId="105121801">
    <w:abstractNumId w:val="4"/>
  </w:num>
  <w:num w:numId="5" w16cid:durableId="1239364203">
    <w:abstractNumId w:val="7"/>
  </w:num>
  <w:num w:numId="6" w16cid:durableId="1463159165">
    <w:abstractNumId w:val="3"/>
  </w:num>
  <w:num w:numId="7" w16cid:durableId="436828776">
    <w:abstractNumId w:val="2"/>
  </w:num>
  <w:num w:numId="8" w16cid:durableId="1531920332">
    <w:abstractNumId w:val="1"/>
  </w:num>
  <w:num w:numId="9" w16cid:durableId="74607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355"/>
    <w:rsid w:val="009F48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