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D5F" w:rsidRDefault="007A5468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However, readability is more than just programming style.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  <w:r>
        <w:br/>
        <w:t>Later a control panel (plug board) added to his 1906 Type I Tabulator allowed it to be programmed for different jobs, and by the late 1940s</w:t>
      </w:r>
      <w:r>
        <w:t>, unit record equipment such as the IBM 602 and IBM 604, were programmed by control panels in a similar way, as were the first electronic computers.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 xml:space="preserve"> A similar technique used for database design is Entity-Relationship Modeling (ER Modeling).</w:t>
      </w:r>
      <w:r>
        <w:br/>
      </w:r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While these are sometimes considered programming, often the term software development is used for this</w:t>
      </w:r>
      <w:r>
        <w:t xml:space="preserve">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</w:t>
      </w:r>
      <w:r>
        <w:t>hine, often in binary notation.</w:t>
      </w:r>
      <w:r>
        <w:br/>
        <w:t xml:space="preserve"> Implementation techniques include imperative languages (object-oriented or procedural), functional languages, and logic languages.</w:t>
      </w:r>
    </w:p>
    <w:sectPr w:rsidR="00221D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499138">
    <w:abstractNumId w:val="8"/>
  </w:num>
  <w:num w:numId="2" w16cid:durableId="2050957230">
    <w:abstractNumId w:val="6"/>
  </w:num>
  <w:num w:numId="3" w16cid:durableId="52629211">
    <w:abstractNumId w:val="5"/>
  </w:num>
  <w:num w:numId="4" w16cid:durableId="1509756498">
    <w:abstractNumId w:val="4"/>
  </w:num>
  <w:num w:numId="5" w16cid:durableId="751976188">
    <w:abstractNumId w:val="7"/>
  </w:num>
  <w:num w:numId="6" w16cid:durableId="686296064">
    <w:abstractNumId w:val="3"/>
  </w:num>
  <w:num w:numId="7" w16cid:durableId="1306424147">
    <w:abstractNumId w:val="2"/>
  </w:num>
  <w:num w:numId="8" w16cid:durableId="340204909">
    <w:abstractNumId w:val="1"/>
  </w:num>
  <w:num w:numId="9" w16cid:durableId="8056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D5F"/>
    <w:rsid w:val="0029639D"/>
    <w:rsid w:val="00326F90"/>
    <w:rsid w:val="007A54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