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69F" w:rsidRDefault="00B47B5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</w:t>
      </w:r>
      <w:r>
        <w:t xml:space="preserve">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COBOL is still strong in corporate data centers often on large mainframe computers, Fortran in engineering applications, scripti</w:t>
      </w:r>
      <w:r>
        <w:t>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 xml:space="preserve"> The academic field and the engineering practice of computer programming are both largely concerned with discoveri</w:t>
      </w:r>
      <w:r>
        <w:t>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6746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4015">
    <w:abstractNumId w:val="8"/>
  </w:num>
  <w:num w:numId="2" w16cid:durableId="1929727086">
    <w:abstractNumId w:val="6"/>
  </w:num>
  <w:num w:numId="3" w16cid:durableId="934898993">
    <w:abstractNumId w:val="5"/>
  </w:num>
  <w:num w:numId="4" w16cid:durableId="1634291889">
    <w:abstractNumId w:val="4"/>
  </w:num>
  <w:num w:numId="5" w16cid:durableId="521017989">
    <w:abstractNumId w:val="7"/>
  </w:num>
  <w:num w:numId="6" w16cid:durableId="1476526215">
    <w:abstractNumId w:val="3"/>
  </w:num>
  <w:num w:numId="7" w16cid:durableId="978190802">
    <w:abstractNumId w:val="2"/>
  </w:num>
  <w:num w:numId="8" w16cid:durableId="1598709524">
    <w:abstractNumId w:val="1"/>
  </w:num>
  <w:num w:numId="9" w16cid:durableId="144456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69F"/>
    <w:rsid w:val="00AA1D8D"/>
    <w:rsid w:val="00B47730"/>
    <w:rsid w:val="00B47B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