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Some of these factors include:</w:t>
        <w:br/>
        <w:t xml:space="preserve"> The presentation aspects of this (such as indents, line breaks, color highlighting, and so on) are often handled by the source code editor, but the content aspects reflect the programmer's talent and skills.</w:t>
        <w:br/>
        <w:t>To produce machine code, the source code must either be compiled or transpiled.</w:t>
        <w:br/>
        <w:t>As early as the 9th century, a programmable music sequencer was invented by the Persian Banu Musa brothers, who described an automated mechanical flute player in the Book of Ingenious Devices.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Assembly languages were soon developed that let the programmer specify instruction in a text format (e.g., ADD X, TOTAL), with abbreviations for each operation code and meaningful names for specifying addresses.</w:t>
        <w:br/>
        <w:t>Text editors were also developed that allowed changes and corrections to be made much more easily than with punched cards.</w:t>
        <w:br/>
        <w:t>Also, those involved with software development may at times engage in reverse engineering, which is the practice of seeking to understand an existing program so as to re-implement its function in some way.</w:t>
        <w:br/>
        <w:t>However, because an assembly language is little more than a different notation for a machine language,  two machines with different instruction sets also have different assembly languages.</w:t>
        <w:br/>
        <w:t>Unreadable code often leads to bugs, inefficiencies, and duplicated code.</w:t>
        <w:br/>
        <w:t>Compiling takes the source code from a low-level programming language and converts it into machine code.</w:t>
        <w:br/>
        <w:t>This can be a non-trivial task, for example as with parallel processes or some unusual software bugs.</w:t>
        <w:br/>
        <w:t xml:space="preserve"> Following a consistent programming style often helps readability.</w:t>
        <w:br/>
        <w:t>Some text editors such as Emacs allow GDB to be invoked through them, to provide a visual environment.</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