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To produce machine code, the source code must either be compiled or transpiled.</w:t>
        <w:br/>
        <w:t>The choice of language used is subject to many considerations, such as company policy, suitability to task, availability of third-party packages, or individual preference.</w:t>
        <w:br/>
        <w:t>Also, specific user environment and usage history can make it difficult to reproduce the problem.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Some languages are more prone to some kinds of faults because their specification does not require compilers to perform as much checking as other languages.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Normally the first step in debugging is to attempt to reproduce the problem.</w:t>
        <w:br/>
        <w:t>It affects the aspects of quality above, including portability, usability and most importantly maintainability.</w:t>
        <w:br/>
        <w:t>The Unified Modeling Language (UML) is a notation used for both the OOAD and MDA.</w:t>
        <w:br/>
        <w:t xml:space="preserve"> Different programming languages support different styles of programming (called programming paradigms).</w:t>
        <w:br/>
        <w:t xml:space="preserve"> Following a consistent programming style often helps readability.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