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It is usually easier to code in "high-level" languages than in "low-level" ones.</w:t>
        <w:br/>
        <w:t>Trade-offs from this ideal involve finding enough programmers who know the language to build a team, the availability of compilers for that language, and the efficiency with which programs written in a given language execute.</w:t>
        <w:br/>
        <w:t>In 1206, the Arab engineer Al-Jazari invented a programmable drum machine where a musical mechanical automaton could be made to play different rhythms and drum patterns, via pegs and cams.</w:t>
        <w:br/>
        <w:t>Many applications use a mix of several languages in their construction and use.</w:t>
        <w:br/>
        <w:t>Trial-and-error/divide-and-conquer is needed: the programmer will try to remove some parts of the original test case and check if the problem still exists.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Also, specific user environment and usage history can make it difficult to reproduce the problem.</w:t>
        <w:br/>
        <w:t>One approach popular for requirements analysis is Use Case analysis.</w:t>
        <w:br/>
        <w:t>In the 9th century, the Arab mathematician Al-Kindi described a cryptographic algorithm for deciphering encrypted code, in A Manuscript on Deciphering Cryptographic Messages.</w:t>
        <w:br/>
        <w:t>For example, when a bug in a compiler can make it crash when parsing some large source file, a simplification of the test case that results in only few lines from the original source file can be sufficient to reproduce the same crash.</w:t>
        <w:br/>
        <w:t>A study found that a few simple readability transformations made code shorter and drastically reduced the time to understand it.</w:t>
        <w:br/>
        <w:t>Unreadable code often leads to bugs, inefficiencies, and duplicated code.</w:t>
        <w:br/>
        <w:t xml:space="preserve"> Programmable devices have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