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Provided the functions in a library follow the appropriate run-time conventions (e.g., method of passing arguments), then these functions may be written in any other language.</w:t>
        <w:br/>
        <w:t>By the late 1960s, data storage devices and computer terminals became inexpensive enough that programs could be created by typing directly into the computers.</w:t>
        <w:br/>
        <w:t>In the 9th century, the Arab mathematician Al-Kindi described a cryptographic algorithm for deciphering encrypted code, in A Manuscript on Deciphering Cryptographic Messages.</w:t>
        <w:br/>
        <w:t>Relatedly, software engineering combines engineering techniques and principles with software development.</w:t>
        <w:br/>
        <w:t>A study found that a few simple readability transformations made code shorter and drastically reduced the time to understand it.</w:t>
        <w:br/>
        <w:t>Unreadable code often leads to bugs, inefficiencies, and duplicated code.</w:t>
        <w:br/>
        <w:t>In 1801, the Jacquard loom could produce entirely different weaves by changing the "program" – a series of pasteboard cards with holes punched in them.</w:t>
        <w:br/>
        <w:t>Also, specific user environment and usage history can make it difficult to reproduce the problem.</w:t>
        <w:br/>
        <w:t>A study found that a few simple readability transformations made code shorter and drastically reduced the time to understand it.</w:t>
        <w:br/>
        <w:t xml:space="preserve"> The first computer program is generally dated to 1843, when mathematician Ada Lovelace published an algorithm to calculate a sequence of Bernoulli numbers, intended to be carried out by Charles Babbage's Analytical Engine.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To produce machine code, the source code must either be compiled or transpiled.</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