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Compilers harnessed the power of computers to make programming easier by allowing programmers to specify calculations by entering a formula using infix notation.</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Scripting and breakpointing is also part of this process.</w:t>
        <w:br/>
        <w:t>This can be a non-trivial task, for example as with parallel processes or some unusual software bugs.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the 9th century, the Arab mathematician Al-Kindi described a cryptographic algorithm for deciphering encrypted code, in A Manuscript on Deciphering Cryptographic Messages.</w:t>
        <w:br/>
        <w:t>For example, COBOL is still strong in corporate data centers often on large mainframe computers, Fortran in engineering applications, scripting languages in Web development, and C in embedded software.</w:t>
        <w:br/>
        <w:t>Integrated development environments (IDEs) aim to integrate all such help.</w:t>
        <w:br/>
        <w:t xml:space="preserve"> A similar technique used for database design is Entity-Relationship Modeling (ER Modeling).</w:t>
        <w:br/>
        <w:t>However, because an assembly language is little more than a different notation for a machine language,  two machines with different instruction sets also have different assembly languages.</w:t>
        <w:br/>
        <w:t>Trial-and-error/divide-and-conquer is needed: the programmer will try to remove some parts of the original test case and check if the problem still exists.</w:t>
        <w:br/>
        <w:t xml:space="preserve"> Computer programmers are those who write computer software.</w:t>
        <w:br/>
        <w:t xml:space="preserve"> It is very difficult to determine what are the most popular modern programming languages.</w:t>
        <w:br/>
        <w:t xml:space="preserve"> Computer programmers are those who write computer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