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However, Charles Babbage had already written his first program for the Analytical Engine in 1837.</w:t>
        <w:br/>
        <w:t>Proficient programming thus usually requires expertise in several different subjects, including knowledge of the application domain, specialized algorithms, and formal logic.</w:t>
        <w:br/>
        <w:t>Text editors were also developed that allowed changes and corrections to be made much more easily than with punched cards.</w:t>
        <w:br/>
        <w:t>The source code of a program is written in one or more languages that are intelligible to programmers, rather than machine code, which is directly executed by the central processing unit.</w:t>
        <w:br/>
        <w:t>Use of a static code analysis tool can help detect some possible problems.</w:t>
        <w:br/>
        <w:t>Many factors, having little or nothing to do with the ability of the computer to efficiently compile and execute the code, contribute to readability.</w:t>
        <w:br/>
        <w:t xml:space="preserve"> It is very difficult to determine what are the most popular modern programming languages.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