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They are the building blocks for all software, from the simplest applications to the most sophisticated ones.</w:t>
        <w:br/>
        <w:t>Trial-and-error/divide-and-conquer is needed: the programmer will try to remove some parts of the original test case and check if the problem still exists.</w:t>
        <w:br/>
        <w:t>There are many approaches to the Software development process.</w:t>
        <w:br/>
        <w:t>When debugging the problem in a GUI, the programmer can try to skip some user interaction from the original problem description and check if remaining actions are sufficient for bugs to appear.</w:t>
        <w:br/>
        <w:t>Some text editors such as Emacs allow GDB to be invoked through them, to provide a visual environment.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because an assembly language is little more than a different notation for a machine language,  two machines with different instruction sets also have different assembly languages.</w:t>
        <w:br/>
        <w:t>Some text editors such as Emacs allow GDB to be invoked through them, to provide a visual environment.</w:t>
        <w:br/>
        <w:t>Text editors were also developed that allowed changes and corrections to be made much more easily than with punched cards.</w:t>
        <w:br/>
        <w:t>It is usually easier to code in "high-level" languages than in "low-level" ones.</w:t>
        <w:br/>
        <w:t>Unreadable code often leads to bugs, inefficiencies, and duplicated code.</w:t>
        <w:br/>
        <w:br/>
        <w:t>The first compiler related tool, the A-0 System, was developed in 1952 by Grace Hopper, who also coined the term 'compiler'.</w:t>
        <w:br/>
        <w:t>Many factors, having little or nothing to do with the ability of the computer to efficiently compile and execute the code, contribute to readability.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