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br/>
        <w:t>Assembly languages were soon developed that let the programmer specify instruction in a text format (e.g., ADD X, TOTAL), with abbreviations for each operation code and meaningful names for specifying addresses.</w:t>
        <w:br/>
        <w:t>Trial-and-error/divide-and-conquer is needed: the programmer will try to remove some parts of the original test case and check if the problem still exists.</w:t>
        <w:br/>
        <w:t>The choice of language used is subject to many considerations, such as company policy, suitability to task, availability of third-party packages, or individual preference.</w:t>
        <w:br/>
        <w:t>To produce machine code, the source code must either be compiled or transpiled.</w:t>
        <w:br/>
        <w:t>Programming involves tasks such as analysis, generating algorithms, profiling algorithms' accuracy and resource consumption, and the implementation of algorithms (usually in a particular programming language, commonly referred to as coding).</w:t>
        <w:br/>
        <w:t xml:space="preserve"> High-level languages made the process of developing a program simpler and more understandable, and less bound to the underlying hardware.</w:t>
        <w:br/>
        <w:t>Relatedly, software engineering combines engineering techniques and principles with software development.</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