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Provided the functions in a library follow the appropriate run-time conventions (e.g., method of passing arguments), then these functions may be written in any other language.</w:t>
        <w:br/>
        <w:t>For example, when a bug in a compiler can make it crash when parsing some large source file, a simplification of the test case that results in only few lines from the original source file can be sufficient to reproduce the same crash.</w:t>
        <w:br/>
        <w:t>As early as the 9th century, a programmable music sequencer was invented by the Persian Banu Musa brothers, who described an automated mechanical flute player in the Book of Ingenious Devices.</w:t>
        <w:br/>
        <w:t>It is usually easier to code in "high-level" languages than in "low-level" ones.</w:t>
        <w:br/>
        <w:t>Techniques like Code refactoring can enhance readability.</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Programming languages are essential for software development.</w:t>
        <w:br/>
        <w:br/>
        <w:t xml:space="preserve"> Computer programming is the process of performing particular computations (or more generally, accomplishing specific computing results), usually by designing and building executable computer programs.</w:t>
        <w:br/>
        <w:t xml:space="preserve"> Debugging is often done with IDEs. Standalone debuggers like GDB are also used, and these often provide less of a visual environment, usually using a command line.</w:t>
        <w:br/>
        <w:t xml:space="preserve"> Following a consistent programming style often helps readability.</w:t>
        <w:br/>
        <w:t>Many programmers use forms of Agile software development where the various stages of formal software development are more integrated together into short cycles that take a few weeks rather than years.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