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Programming involves tasks such as analysis, generating algorithms, profiling algorithms' accuracy and resource consumption, and the implementation of algorithms (usually in a particular programming language, commonly referred to as coding).</w:t>
        <w:br/>
        <w:t>The Unified Modeling Language (UML) is a notation used for both the OOAD and MDA.</w:t>
        <w:br/>
        <w:t>Proficient programming thus usually requires expertise in several different subjects, including knowledge of the application domain, specialized algorithms, and formal logic.</w:t>
        <w:br/>
        <w:t>They are the building blocks for all software, from the simplest applications to the most sophisticated ones.</w:t>
        <w:br/>
        <w:t>By the late 1960s, data storage devices and computer terminals became inexpensive enough that programs could be created by typing directly into the computers.</w:t>
        <w:br/>
        <w:t>Compilers harnessed the power of computers to make programming easier by allowing programmers to specify calculations by entering a formula using infix notation.</w:t>
        <w:br/>
        <w:t>There are many approaches to the Software development process.</w:t>
        <w:br/>
        <w:t>However, readability is more than just programming style.</w:t>
        <w:br/>
        <w:t>Expert programmers are familiar with a variety of well-established algorithms and their respective complexities and use this knowledge to choose algorithms that are best suited to the circumstances.</w:t>
        <w:br/>
        <w:t xml:space="preserve"> Various visual programming languages have also been developed with the intent to resolve readability concerns by adopting non-traditional approaches to code structure and display.</w:t>
        <w:br/>
        <w:t xml:space="preserve"> Different programming languages support different styles of programming (called programming paradigms).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Different programming languages support different styles of programming (called programming paradigms).</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