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Use of a static code analysis tool can help detect some possible problems.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He gave the first description of cryptanalysis by frequency analysis, the earliest code-breaking algorithm.</w:t>
        <w:br/>
        <w:t>Text editors were also developed that allowed changes and corrections to be made much more easily than with punched cards.</w:t>
        <w:br/>
        <w:t>However, because an assembly language is little more than a different notation for a machine language,  two machines with different instruction sets also have different assembly languages.</w:t>
        <w:br/>
        <w:t>Many factors, having little or nothing to do with the ability of the computer to efficiently compile and execute the code, contribute to readability.</w:t>
        <w:br/>
        <w:t>Text editors were also developed that allowed changes and corrections to be made much more easily than with punched cards.</w:t>
        <w:br/>
        <w:t>It is usually easier to code in "high-level" languages than in "low-level" ones.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A study found that a few simple readability transformations made code shorter and drastically reduced the time to understand it.</w:t>
        <w:br/>
        <w:t>There exist a lot of different approaches for each of those tasks.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Computer programmers are those who write computer software.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