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This is interpreted into machine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This is interpreted into machine code.</w:t>
        <w:br/>
        <w:t>This is interpreted into machine code.</w:t>
        <w:br/>
        <w:t>Many factors, having little or nothing to do with the ability of the computer to efficiently compile and execute the code, contribute to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Expert programmers are familiar with a variety of well-established algorithms and their respective complexities and use this knowledge to choose algorithms that are best suited to the circumstances.</w:t>
        <w:br/>
        <w:t>To produce machine code, the source code must either be compiled or transpiled.</w:t>
        <w:br/>
        <w:t>He gave the first description of cryptanalysis by frequency analysis, the earliest code-breaking algorithm.</w:t>
        <w:br/>
        <w:t>Compiling takes the source code from a low-level programming language and converts it into machine code.</w:t>
        <w:br/>
        <w:t>Some text editors such as Emacs allow GDB to be invoked through them, to provide a visual environment.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