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source code of a program is written in one or more languages that are intelligible to programmers, rather than machine code, which is directly executed by the central processing unit.</w:t>
        <w:br/>
        <w:t>Scripting and breakpointing is also part of this process.</w:t>
        <w:br/>
        <w:t>However, readability is more than just programming style.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Expert programmers are familiar with a variety of well-established algorithms and their respective complexities and use this knowledge to choose algorithms that are best suited to the circumstances.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applications use a mix of several languages in their construction and use.</w:t>
        <w:br/>
        <w:t>For example, COBOL is still strong in corporate data centers often on large mainframe computers, Fortran in engineering applications, scripting languages in Web development, and C in embedded software.</w:t>
        <w:br/>
        <w:t>They are the building blocks for all software, from the simplest applications to the most sophisticated ones.</w:t>
        <w:br/>
        <w:t>This is interpreted into machine code.</w:t>
        <w:br/>
        <w:t>This can be a non-trivial task, for example as with parallel processes or some unusual software bugs.</w:t>
        <w:br/>
        <w:t>By the late 1960s, data storage devices and computer terminals became inexpensive enough that programs could be created by typing directly into the computers.</w:t>
        <w:br/>
        <w:t xml:space="preserve"> Allen Downey, in his book How To Think Like A Computer Scientist, writes:</w:t>
        <w:br/>
        <w:t xml:space="preserve"> Many computer languages provide a mechanism to call functions provided by shared libraries.</w:t>
        <w:br/>
        <w:t xml:space="preserve"> Following a consistent programming style often helps readability.</w:t>
        <w:br/>
        <w:t xml:space="preserve"> Programmable devices have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