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When debugging the problem in a GUI, the programmer can try to skip some user interaction from the original problem description and check if remaining actions are sufficient for bugs to appear.</w:t>
        <w:br/>
        <w:t>When debugging the problem in a GUI, the programmer can try to skip some user interaction from the original problem description and check if remaining actions are sufficient for bugs to appear.</w:t>
        <w:br/>
        <w:t>Trial-and-error/divide-and-conquer is needed: the programmer will try to remove some parts of the original test case and check if the problem still exists.</w:t>
        <w:br/>
        <w:t>In 1801, the Jacquard loom could produce entirely different weaves by changing the "program" – a series of pasteboard cards with holes punched in them.</w:t>
        <w:br/>
        <w:t>Many applications use a mix of several languages in their construction and use.</w:t>
        <w:br/>
        <w:t>Also, specific user environment and usage history can make it difficult to reproduce the problem.</w:t>
        <w:br/>
        <w:t>Provided the functions in a library follow the appropriate run-time conventions (e.g., method of passing arguments), then these functions may be written in any other language.</w:t>
        <w:br/>
        <w:t>Relatedly, software engineering combines engineering techniques and principles with software development.</w:t>
        <w:br/>
        <w:t>He gave the first description of cryptanalysis by frequency analysis, the earliest code-breaking algorithm.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source code of a program is written in one or more languages that are intelligible to programmers, rather than machine code, which is directly executed by the central processing unit.</w:t>
        <w:br/>
        <w:t>There exist a lot of different approaches for each of those tasks.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