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However, readability is more than just programming style.</w:t>
        <w:br/>
        <w:t>In the 9th century, the Arab mathematician Al-Kindi described a cryptographic algorithm for deciphering encrypted code, in A Manuscript on Deciphering Cryptographic Messages.</w:t>
        <w:br/>
        <w:t>Also, specific user environment and usage history can make it difficult to reproduce the problem.</w:t>
        <w:br/>
        <w:t>However, because an assembly language is little more than a different notation for a machine language,  two machines with different instruction sets also have different assembly languages.</w:t>
        <w:br/>
        <w:t>For example, when a bug in a compiler can make it crash when parsing some large source file, a simplification of the test case that results in only few lines from the original source file can be sufficient to reproduce the same crash.</w:t>
        <w:br/>
        <w:t>Many programmers use forms of Agile software development where the various stages of formal software development are more integrated together into short cycles that take a few weeks rather than years.</w:t>
        <w:b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 xml:space="preserve"> Different programming languages support different styles of programming (called programming paradigms).</w:t>
        <w:br/>
        <w:t>Transpiling on the other hand, takes the source-code from a high-level programming language and converts it into bytecode.</w:t>
        <w:br/>
        <w:t>Trial-and-error/divide-and-conquer is needed: the programmer will try to remove some parts of the original test case and check if the problem still exists.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