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This can be a non-trivial task, for example as with parallel processes or some unusual software bugs.</w:t>
        <w:br/>
        <w:t>To produce machine code, the source code must either be compiled or transpiled.</w:t>
        <w:br/>
        <w:t>He gave the first description of cryptanalysis by frequency analysis, the earliest code-breaking algorithm.</w:t>
        <w:br/>
        <w:t>This can be a non-trivial task, for example as with parallel processes or some unusual software bugs.</w:t>
        <w:br/>
        <w:t>The Unified Modeling Language (UML) is a notation used for both the OOAD and MDA.</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