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A study found that a few simple readability transformations made code shorter and drastically reduced the time to understand it.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>However, readability is more than just programming style.</w:t>
        <w:br/>
        <w:t>However, readability is more than just programming style.</w:t>
        <w:br/>
        <w:t>However, with the concept of the stored-program computer introduced in 1949, both programs and data were stored and manipulated in the same way in computer memory.</w:t>
        <w:br/>
        <w:t xml:space="preserve"> It is very difficult to determine what are the most popular modern programming languages.</w:t>
        <w:br/>
        <w:t>When debugging the problem in a GUI, the programmer can try to skip some user interaction from the original problem description and check if remaining actions are sufficient for bugs to appear.</w:t>
        <w:br/>
        <w:t>However, because an assembly language is little more than a different notation for a machine language,  two machines with different instruction sets also have different assembly languages.</w:t>
        <w:br/>
        <w:t>Techniques like Code refactoring can enhance readability.</w:t>
        <w:br/>
        <w:t>Compiling takes the source code from a low-level programming language and converts it into machine code.</w:t>
        <w:br/>
        <w:t>However, because an assembly language is little more than a different notation for a machine language,  two machines with different instruction sets also have different assembly languages.</w:t>
        <w:br/>
        <w:br/>
        <w:t xml:space="preserve"> Whatever the approach to development may be, the final program must satisfy some fundamental properties.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